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1A" w:rsidRDefault="0064401A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8469"/>
      </w:tblGrid>
      <w:tr w:rsidR="004D6B1D" w:rsidRPr="00220A33" w:rsidTr="0039313D">
        <w:tc>
          <w:tcPr>
            <w:tcW w:w="704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0A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ПП.</w:t>
            </w:r>
          </w:p>
        </w:tc>
        <w:tc>
          <w:tcPr>
            <w:tcW w:w="6521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0A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ПРЕДЛОЖЕНИЯ </w:t>
            </w:r>
          </w:p>
          <w:p w:rsidR="004D6B1D" w:rsidRPr="00220A33" w:rsidRDefault="004D6B1D" w:rsidP="004D6B1D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0A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ОКЛАДАМ И КОМПЕНСАЦИОННЫМ ВЫПЛАТАМ:</w:t>
            </w:r>
          </w:p>
        </w:tc>
        <w:tc>
          <w:tcPr>
            <w:tcW w:w="8469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0A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ОБОСНОВАНИЕ</w:t>
            </w:r>
          </w:p>
        </w:tc>
      </w:tr>
      <w:tr w:rsidR="004D6B1D" w:rsidRPr="00220A33" w:rsidTr="0039313D">
        <w:tc>
          <w:tcPr>
            <w:tcW w:w="704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>Перераспределить структуру заработной платы работников таким образом, чтобы доля стимулирующих выплат составляла не более 20 %.</w:t>
            </w:r>
          </w:p>
          <w:p w:rsidR="004D6B1D" w:rsidRPr="00220A33" w:rsidRDefault="004D6B1D" w:rsidP="004D6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>Увеличить оклады основному персоналу учреждений культуры и образовательных учреждений в сфере культуры исходя из размера МРОТ, установленного с 1 января 2019 года (11280 рублей).</w:t>
            </w:r>
          </w:p>
        </w:tc>
        <w:tc>
          <w:tcPr>
            <w:tcW w:w="8469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В целях развития кадрового потенциала, повышения престижности и привлекательности работы в учреждениях культуры продолжить работу по увеличению доли выплат по окладам (должностным окладам) в структуре заработной платы работников, сбалансировав ее таким образом, чтобы без учета выплат компенсационного характера за работу в местностях с особыми климатическими условиями на выплаты по окладам (должностным окладам) направлялось не менее 50 - 55 процентов заработной платы.</w:t>
            </w:r>
            <w:r w:rsidRPr="00220A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:rsidR="004D6B1D" w:rsidRPr="00220A33" w:rsidRDefault="004D6B1D" w:rsidP="004D6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В настоящее время в структуре заработной платы отмечается низкая доля оклада, в том числе педагогических работников образовательных учреждений в сфере культуры.</w:t>
            </w:r>
          </w:p>
        </w:tc>
      </w:tr>
      <w:tr w:rsidR="004D6B1D" w:rsidRPr="00220A33" w:rsidTr="0039313D">
        <w:tc>
          <w:tcPr>
            <w:tcW w:w="704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>Увеличить оклады работникам по общеотраслевым должностям руководителей, специалистов и служащих и по должностям общеотраслевых профессий рабочих в учреждениях культуры и образовательных учреждениях.</w:t>
            </w:r>
          </w:p>
        </w:tc>
        <w:tc>
          <w:tcPr>
            <w:tcW w:w="8469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Указанные категории работников не попали под действие майских Указов президента РФ 2012 г.</w:t>
            </w:r>
          </w:p>
        </w:tc>
      </w:tr>
      <w:tr w:rsidR="004D6B1D" w:rsidRPr="00220A33" w:rsidTr="0039313D">
        <w:tc>
          <w:tcPr>
            <w:tcW w:w="704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Установить оклады в зависимости от уровня квалификации и (или) образования (среднее профессиональное и высшее образование).</w:t>
            </w:r>
          </w:p>
        </w:tc>
        <w:tc>
          <w:tcPr>
            <w:tcW w:w="8469" w:type="dxa"/>
            <w:shd w:val="clear" w:color="auto" w:fill="auto"/>
          </w:tcPr>
          <w:p w:rsidR="004D6B1D" w:rsidRPr="00220A33" w:rsidRDefault="004D6B1D" w:rsidP="004D6B1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Согласно статье 2 Трудового кодекса Российской Федерации основными принципами правового регулирования трудовых отношений и иных непосредственно связанных с ними отношений признаются, в частности обеспечение равенства возможностей работников без всякой дискриминации на продвижение по работе </w:t>
            </w:r>
            <w:r w:rsidRPr="00220A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учетом производительности труда, квалификации и стажа работы по специальности,</w:t>
            </w: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также на подготовку и дополнительное профессиональное образование.</w:t>
            </w:r>
          </w:p>
          <w:p w:rsidR="004D6B1D" w:rsidRPr="00220A33" w:rsidRDefault="004D6B1D" w:rsidP="004D6B1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Согласно статьям 129, 132 Трудового кодекса Российской Федерации заработная плата (оплата труда работника) - вознаграждение за труд в зависимости </w:t>
            </w:r>
            <w:r w:rsidRPr="00220A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квалификации работника,</w:t>
            </w: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сложности, количества, качества и условий выполняемой работы, а также </w:t>
            </w:r>
            <w:r w:rsidRPr="00220A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компенсационные </w:t>
            </w: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выплаты и </w:t>
            </w:r>
            <w:r w:rsidRPr="00220A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стимулирующие выплаты</w:t>
            </w: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Заработная плата каждого работника </w:t>
            </w:r>
            <w:r w:rsidRPr="00220A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зависит от его квалификации</w:t>
            </w: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>, сложности выполняемой работы, количества и качества затраченного труда.</w:t>
            </w:r>
          </w:p>
          <w:p w:rsidR="004D6B1D" w:rsidRPr="00220A33" w:rsidRDefault="004D6B1D" w:rsidP="00DB3A81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B1D" w:rsidRPr="00220A33" w:rsidTr="0039313D">
        <w:tc>
          <w:tcPr>
            <w:tcW w:w="704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Установить компенсационные выплаты за условия, отклоняющиеся от нормальных (например, за разделенный на части рабочий день, за работу в общеобразовательном учреждении, имеющем интернат) работникам в соответствии </w:t>
            </w: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перечнем профессий и должностей творческих работников средств массовой информации, организаций кинематографии, теле- и видеосъемочных коллективов, театров, театральных и концертных организаций, цирков и иных лиц, участвующих в создании и (или) исполнении (экспонировании) произведений, особенности трудовой деятельности которых установлены Трудовым кодексом Российской Федерации, утвержденным постановлением Правительства РФ от 28 апреля 2007 г. N 252.</w:t>
            </w:r>
          </w:p>
          <w:p w:rsidR="004D6B1D" w:rsidRPr="00220A33" w:rsidRDefault="004D6B1D" w:rsidP="004D6B1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9" w:type="dxa"/>
            <w:shd w:val="clear" w:color="auto" w:fill="auto"/>
          </w:tcPr>
          <w:p w:rsidR="004D6B1D" w:rsidRPr="00220A33" w:rsidRDefault="004D6B1D" w:rsidP="004D6B1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В силу статьи 105 Трудового кодекса Российской Федерации на тех работах, где это необходимо вследствие </w:t>
            </w:r>
            <w:r w:rsidRPr="00220A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особого характера труда</w:t>
            </w: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 при производстве работ, интенсивность которых неодинакова в течение рабочего дня (смены), рабочий день может быть разделен на части с тем, чтобы общая </w:t>
            </w: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продолжительность рабочего времени не превышала установленной продолжительности ежедневной работы.</w:t>
            </w:r>
          </w:p>
          <w:p w:rsidR="004D6B1D" w:rsidRPr="00220A33" w:rsidRDefault="004D6B1D" w:rsidP="004D6B1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На основании статьи 149 Трудового кодекса Российской Федерации при выполнении работ в условиях, отклоняющихся от нормальных (перечень не ограничен законодателем) работнику производятся соответствующие выплаты, предусмотренные трудовым законодательством и иными нормативными правовыми актами, содержащими нормы трудового права.</w:t>
            </w:r>
          </w:p>
          <w:p w:rsidR="004D6B1D" w:rsidRPr="00220A33" w:rsidRDefault="004D6B1D" w:rsidP="004D6B1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B1D" w:rsidRPr="00220A33" w:rsidTr="0039313D">
        <w:tc>
          <w:tcPr>
            <w:tcW w:w="704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1" w:type="dxa"/>
            <w:shd w:val="clear" w:color="auto" w:fill="auto"/>
          </w:tcPr>
          <w:p w:rsidR="004D6B1D" w:rsidRPr="00220A33" w:rsidRDefault="004D6B1D" w:rsidP="004D6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 и уточнить нормы в части оплаты труда за выполнение работы в выходные и нерабочие праздничные дни с учетом выводов, изложенных в Постановлении Конституционного Суда Российской Федерации от 28 июня 2018 г. N 26-П.</w:t>
            </w:r>
          </w:p>
        </w:tc>
        <w:tc>
          <w:tcPr>
            <w:tcW w:w="8469" w:type="dxa"/>
            <w:shd w:val="clear" w:color="auto" w:fill="auto"/>
          </w:tcPr>
          <w:p w:rsidR="004D6B1D" w:rsidRPr="00220A33" w:rsidRDefault="004D6B1D" w:rsidP="004D6B1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6B1D" w:rsidRDefault="004D6B1D"/>
    <w:p w:rsidR="0055310A" w:rsidRDefault="0055310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8469"/>
      </w:tblGrid>
      <w:tr w:rsidR="004D6B1D" w:rsidRPr="004D6B1D" w:rsidTr="0039313D">
        <w:tc>
          <w:tcPr>
            <w:tcW w:w="704" w:type="dxa"/>
          </w:tcPr>
          <w:p w:rsidR="004D6B1D" w:rsidRPr="004D6B1D" w:rsidRDefault="004D6B1D" w:rsidP="004D6B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b/>
                <w:sz w:val="20"/>
                <w:szCs w:val="20"/>
              </w:rPr>
              <w:t>№ ПП.</w:t>
            </w:r>
          </w:p>
        </w:tc>
        <w:tc>
          <w:tcPr>
            <w:tcW w:w="6521" w:type="dxa"/>
          </w:tcPr>
          <w:p w:rsidR="004D6B1D" w:rsidRPr="004D6B1D" w:rsidRDefault="004D6B1D" w:rsidP="004D6B1D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СТИМУЛИРУЮЩИМ ВЫПЛАТАМ</w:t>
            </w:r>
            <w:r w:rsidRPr="004D6B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469" w:type="dxa"/>
          </w:tcPr>
          <w:p w:rsidR="004D6B1D" w:rsidRPr="004D6B1D" w:rsidRDefault="004D6B1D" w:rsidP="004D6B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</w:t>
            </w:r>
          </w:p>
        </w:tc>
      </w:tr>
      <w:tr w:rsidR="004D6B1D" w:rsidRPr="004D6B1D" w:rsidTr="0039313D">
        <w:tc>
          <w:tcPr>
            <w:tcW w:w="704" w:type="dxa"/>
          </w:tcPr>
          <w:p w:rsidR="004D6B1D" w:rsidRPr="004D6B1D" w:rsidRDefault="004D6B1D" w:rsidP="004D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</w:tcPr>
          <w:p w:rsidR="004D6B1D" w:rsidRPr="004D6B1D" w:rsidRDefault="004D6B1D" w:rsidP="004D6B1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>Исключить балльную систему при установлении выплат стимулирующего характера и предусмотреть систему выплат стимулирующего характера в % отношении к окладу.</w:t>
            </w:r>
          </w:p>
          <w:p w:rsidR="004D6B1D" w:rsidRPr="004D6B1D" w:rsidRDefault="004D6B1D" w:rsidP="004D6B1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9" w:type="dxa"/>
          </w:tcPr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     Правила определения выплат стимулирующего характера по балльной системе непонятна большинству работнику и части работодателей. </w:t>
            </w:r>
          </w:p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     Гарантированный уровень оплаты труда низкооплачиваемой категории работников доводится за счет выплат стимулирующего характера, зависящих от критериев оценки результативности и качества труда, что приводит к уменьшению доли стимулирующих выплат в ФОТ основному персоналу, снижению дифференциации между уровнями оплаты труда низкооплачиваемой категории работников и основного персонала, утрате мотивации к выполнению показателей (характерно для муниципальных учреждений).</w:t>
            </w:r>
          </w:p>
          <w:p w:rsidR="004D6B1D" w:rsidRPr="001560F1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      Система непредсказуема (стоимость балла снижается в случаях большего выполнения количества показателей, увеличения числа работников в определяемый период), не действует  в отношении вновь принятых работников в течение первого квартала работы,увеличивает объем работы и документооборот.</w:t>
            </w:r>
            <w:r w:rsidR="001560F1">
              <w:rPr>
                <w:rFonts w:ascii="Times New Roman" w:hAnsi="Times New Roman" w:cs="Times New Roman"/>
                <w:sz w:val="20"/>
                <w:szCs w:val="20"/>
              </w:rPr>
              <w:t>Формулы определения стоимости балла фактически не работают.</w:t>
            </w:r>
          </w:p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      Работник должен понимать, какое вознаграждение он получит в зависимости от результатов своего труда, а также за достижение коллективных результатов труда.</w:t>
            </w:r>
          </w:p>
        </w:tc>
      </w:tr>
      <w:tr w:rsidR="004D6B1D" w:rsidRPr="004D6B1D" w:rsidTr="0039313D">
        <w:tc>
          <w:tcPr>
            <w:tcW w:w="704" w:type="dxa"/>
          </w:tcPr>
          <w:p w:rsidR="004D6B1D" w:rsidRPr="004D6B1D" w:rsidRDefault="004D6B1D" w:rsidP="004D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</w:tcPr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>Определить критерии результативности и качества труда для определения размеров выплат стимулирующего характера работникам исходя из вида учреждения, в том числе работникам образовательных учреждений.</w:t>
            </w:r>
          </w:p>
        </w:tc>
        <w:tc>
          <w:tcPr>
            <w:tcW w:w="8469" w:type="dxa"/>
            <w:shd w:val="clear" w:color="auto" w:fill="auto"/>
          </w:tcPr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      В действующих нормативных правовых актах содержание критериев результативности и качества труда для определения размеров выплат стимулирующего характера носит формальный характер, заведомо невыполнимых для работников, не предусматривают конкретно измеримых показателей, не зависит от условий труда, а иногда </w:t>
            </w:r>
            <w:r w:rsidRPr="004D6B1D">
              <w:rPr>
                <w:rFonts w:ascii="Times New Roman" w:hAnsi="Times New Roman" w:cs="Times New Roman"/>
                <w:i/>
                <w:sz w:val="20"/>
                <w:szCs w:val="20"/>
              </w:rPr>
              <w:t>содержит в себе выплаты компенсационного характера</w:t>
            </w: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(например, </w:t>
            </w:r>
            <w:r w:rsidRPr="004D6B1D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экономических и социальных партнеров</w:t>
            </w: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для реализации основных направлений деятельности учреждения; разработка и применение </w:t>
            </w:r>
            <w:r w:rsidRPr="004D6B1D">
              <w:rPr>
                <w:rFonts w:ascii="Times New Roman" w:hAnsi="Times New Roman" w:cs="Times New Roman"/>
                <w:b/>
                <w:sz w:val="20"/>
                <w:szCs w:val="20"/>
              </w:rPr>
              <w:t>новых технологий</w:t>
            </w: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при решении социокультурных задач, стоящих перед учреждением; </w:t>
            </w:r>
            <w:r w:rsidRPr="004D6B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превышение фактических показателей результативности деятельности </w:t>
            </w:r>
            <w:r w:rsidRPr="004D6B1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учреждения по сравнению с запланированными</w:t>
            </w: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D6B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выполнение большего объема работы с использованием меньшего количества ресурсов; </w:t>
            </w: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достижение </w:t>
            </w:r>
            <w:r w:rsidRPr="004D6B1D">
              <w:rPr>
                <w:rFonts w:ascii="Times New Roman" w:hAnsi="Times New Roman" w:cs="Times New Roman"/>
                <w:b/>
                <w:sz w:val="20"/>
                <w:szCs w:val="20"/>
              </w:rPr>
              <w:t>конкретно измеримых положительных результатов</w:t>
            </w: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в социокультурной деятельности учреждения; применение в работе достижений науки и передовых методов работы; наличие исполнительского мастерства (по результатам </w:t>
            </w:r>
            <w:r w:rsidRPr="004D6B1D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промежуточного тестирования</w:t>
            </w: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и аттестации);своевременное выполнение заданий </w:t>
            </w:r>
            <w:r w:rsidRPr="004D6B1D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художественного руководителя коллектива</w:t>
            </w: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4D6B1D" w:rsidRPr="004D6B1D" w:rsidRDefault="00F6457F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Кроме того,  с</w:t>
            </w:r>
            <w:r w:rsidR="004D6B1D"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одержание критериев результативности и качества труда для определения размеров выплат стимулирующего характера может уточняться и дополняться с учетом специфики учреждения при разработке </w:t>
            </w:r>
            <w:r w:rsidR="004D6B1D" w:rsidRPr="004D6B1D"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положения о стимулировании работников</w:t>
            </w:r>
            <w:r w:rsidR="004D6B1D"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учреждения. В то же время критерии и размеры баллов остаются неизменны. Возникают сложности при определении размера балла в случае изменения или дополнении содержания критерия. </w:t>
            </w:r>
          </w:p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      В учреждениях отсутствуют положения о стимулировании работников. Выплаты стимулирующего характера установлены в положении об оплате труда.</w:t>
            </w:r>
          </w:p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      Нет отдельных критериев по видам учреждений, в том числе образовательных (ограничен перечень педагогических работников – преподаватели, концертмейстеры). </w:t>
            </w:r>
          </w:p>
        </w:tc>
      </w:tr>
      <w:tr w:rsidR="004D6B1D" w:rsidRPr="004D6B1D" w:rsidTr="0039313D">
        <w:tc>
          <w:tcPr>
            <w:tcW w:w="704" w:type="dxa"/>
          </w:tcPr>
          <w:p w:rsidR="004D6B1D" w:rsidRPr="004D6B1D" w:rsidRDefault="004D6B1D" w:rsidP="004D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521" w:type="dxa"/>
          </w:tcPr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>Уточнить условия установления персональной выплаты в целях повышения уровня оплаты труда молодым специалистам.</w:t>
            </w:r>
          </w:p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9" w:type="dxa"/>
          </w:tcPr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 xml:space="preserve">       В связи с участившимися обращениями о толковании нормы о назначении персональной выплаты в целях повышения уровня оплаты труда молодым специалистам, предлагается уточнить:</w:t>
            </w:r>
          </w:p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>- слово «впервые» относится только к окончанию образовательного учреждения или к окончанию образовательного учреждения и заключению трудового договора;</w:t>
            </w:r>
          </w:p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B1D">
              <w:rPr>
                <w:rFonts w:ascii="Times New Roman" w:hAnsi="Times New Roman" w:cs="Times New Roman"/>
                <w:sz w:val="20"/>
                <w:szCs w:val="20"/>
              </w:rPr>
              <w:t>- считается ли последовательное окончание профессионального образовательного учреждения и образовательного учреждения высшего образования условием для назначения выплаты.</w:t>
            </w:r>
          </w:p>
        </w:tc>
      </w:tr>
      <w:tr w:rsidR="004D6B1D" w:rsidRPr="004D6B1D" w:rsidTr="0039313D">
        <w:tc>
          <w:tcPr>
            <w:tcW w:w="704" w:type="dxa"/>
          </w:tcPr>
          <w:p w:rsidR="004D6B1D" w:rsidRPr="004D6B1D" w:rsidRDefault="004D6B1D" w:rsidP="004D6B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9" w:type="dxa"/>
          </w:tcPr>
          <w:p w:rsidR="004D6B1D" w:rsidRPr="004D6B1D" w:rsidRDefault="004D6B1D" w:rsidP="004D6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6B1D" w:rsidRDefault="004D6B1D"/>
    <w:sectPr w:rsidR="004D6B1D" w:rsidSect="004D6B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0A" w:rsidRDefault="008F4C0A" w:rsidP="004D6B1D">
      <w:pPr>
        <w:spacing w:after="0" w:line="240" w:lineRule="auto"/>
      </w:pPr>
      <w:r>
        <w:separator/>
      </w:r>
    </w:p>
  </w:endnote>
  <w:endnote w:type="continuationSeparator" w:id="0">
    <w:p w:rsidR="008F4C0A" w:rsidRDefault="008F4C0A" w:rsidP="004D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0A" w:rsidRDefault="008F4C0A" w:rsidP="004D6B1D">
      <w:pPr>
        <w:spacing w:after="0" w:line="240" w:lineRule="auto"/>
      </w:pPr>
      <w:r>
        <w:separator/>
      </w:r>
    </w:p>
  </w:footnote>
  <w:footnote w:type="continuationSeparator" w:id="0">
    <w:p w:rsidR="008F4C0A" w:rsidRDefault="008F4C0A" w:rsidP="004D6B1D">
      <w:pPr>
        <w:spacing w:after="0" w:line="240" w:lineRule="auto"/>
      </w:pPr>
      <w:r>
        <w:continuationSeparator/>
      </w:r>
    </w:p>
  </w:footnote>
  <w:footnote w:id="1">
    <w:p w:rsidR="004D6B1D" w:rsidRPr="006F302D" w:rsidRDefault="004D6B1D" w:rsidP="004D6B1D">
      <w:pPr>
        <w:pStyle w:val="a4"/>
        <w:jc w:val="both"/>
        <w:rPr>
          <w:rFonts w:ascii="Times New Roman" w:hAnsi="Times New Roman"/>
          <w:sz w:val="16"/>
          <w:szCs w:val="16"/>
        </w:rPr>
      </w:pPr>
      <w:r w:rsidRPr="006F302D">
        <w:rPr>
          <w:rStyle w:val="a6"/>
          <w:rFonts w:ascii="Times New Roman" w:hAnsi="Times New Roman"/>
          <w:sz w:val="16"/>
          <w:szCs w:val="16"/>
        </w:rPr>
        <w:footnoteRef/>
      </w:r>
      <w:r w:rsidRPr="006F302D">
        <w:rPr>
          <w:rFonts w:ascii="Times New Roman" w:hAnsi="Times New Roman"/>
          <w:sz w:val="16"/>
          <w:szCs w:val="16"/>
        </w:rPr>
        <w:t xml:space="preserve">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2019 год (утв. решением Российской трехсторонней комиссии по регулированию социально-трудовых отношений от 25.12.2018, протокол N 12).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44"/>
    <w:rsid w:val="001560F1"/>
    <w:rsid w:val="001934D0"/>
    <w:rsid w:val="00220A33"/>
    <w:rsid w:val="002C5262"/>
    <w:rsid w:val="004D6B1D"/>
    <w:rsid w:val="00547144"/>
    <w:rsid w:val="0055310A"/>
    <w:rsid w:val="0064401A"/>
    <w:rsid w:val="00654AAF"/>
    <w:rsid w:val="00680D29"/>
    <w:rsid w:val="00721159"/>
    <w:rsid w:val="0080164F"/>
    <w:rsid w:val="008F4C0A"/>
    <w:rsid w:val="00DB3A81"/>
    <w:rsid w:val="00F6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4D6B1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6B1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4D6B1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5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31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4D6B1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6B1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4D6B1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5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3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Оксана</dc:creator>
  <cp:lastModifiedBy>Admin</cp:lastModifiedBy>
  <cp:revision>2</cp:revision>
  <cp:lastPrinted>2019-01-15T02:37:00Z</cp:lastPrinted>
  <dcterms:created xsi:type="dcterms:W3CDTF">2019-06-10T01:32:00Z</dcterms:created>
  <dcterms:modified xsi:type="dcterms:W3CDTF">2019-06-10T01:32:00Z</dcterms:modified>
</cp:coreProperties>
</file>