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3"/>
        <w:gridCol w:w="927"/>
      </w:tblGrid>
      <w:tr w:rsidR="009273D5" w:rsidRPr="009273D5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9273D5" w:rsidP="009273D5">
            <w:pPr>
              <w:spacing w:after="0" w:line="48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bookmarkStart w:id="0" w:name="mailruanchor_a2"/>
            <w:r w:rsidRPr="009273D5">
              <w:rPr>
                <w:rFonts w:ascii="Arial" w:eastAsia="Times New Roman" w:hAnsi="Arial" w:cs="Arial"/>
                <w:b/>
                <w:bCs/>
                <w:color w:val="0070F0"/>
                <w:kern w:val="36"/>
                <w:sz w:val="27"/>
                <w:szCs w:val="27"/>
                <w:u w:val="single"/>
                <w:lang w:eastAsia="ru-RU"/>
              </w:rPr>
              <w:t>Надзор за соблюдением трудового законодательства: обновлена программа профилактики причинения вреда на 2026 г.</w:t>
            </w:r>
            <w:bookmarkEnd w:id="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4758DB" w:rsidP="009273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anchor="mailruanchor_top" w:history="1">
              <w:r w:rsidR="009273D5" w:rsidRPr="009273D5">
                <w:rPr>
                  <w:rFonts w:ascii="Arial" w:eastAsia="Times New Roman" w:hAnsi="Arial" w:cs="Arial"/>
                  <w:color w:val="737881"/>
                  <w:sz w:val="18"/>
                  <w:szCs w:val="18"/>
                  <w:shd w:val="clear" w:color="auto" w:fill="F4F4F5"/>
                  <w:lang w:eastAsia="ru-RU"/>
                </w:rPr>
                <w:t>Наверх</w:t>
              </w:r>
            </w:hyperlink>
          </w:p>
        </w:tc>
      </w:tr>
      <w:tr w:rsidR="009273D5" w:rsidRPr="009273D5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273D5" w:rsidRPr="009273D5" w:rsidRDefault="004758DB" w:rsidP="009273D5">
            <w:pPr>
              <w:spacing w:after="225" w:line="240" w:lineRule="auto"/>
              <w:rPr>
                <w:rFonts w:ascii="Arial" w:eastAsia="Times New Roman" w:hAnsi="Arial" w:cs="Arial"/>
                <w:color w:val="2C2D2E"/>
                <w:sz w:val="21"/>
                <w:szCs w:val="21"/>
                <w:lang w:eastAsia="ru-RU"/>
              </w:rPr>
            </w:pPr>
            <w:hyperlink r:id="rId6" w:history="1">
              <w:r w:rsidR="009273D5" w:rsidRPr="009273D5">
                <w:rPr>
                  <w:rFonts w:ascii="Arial" w:eastAsia="Times New Roman" w:hAnsi="Arial" w:cs="Arial"/>
                  <w:color w:val="004FD3"/>
                  <w:sz w:val="21"/>
                  <w:szCs w:val="21"/>
                  <w:lang w:eastAsia="ru-RU"/>
                </w:rPr>
                <w:t>Приказ Федеральной службы по труду и занятости от 24 февраля 2026 г. № 42 “О внесении изменений в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 2026 год”</w:t>
              </w:r>
            </w:hyperlink>
          </w:p>
          <w:p w:rsidR="009273D5" w:rsidRPr="009273D5" w:rsidRDefault="009273D5" w:rsidP="009273D5">
            <w:pPr>
              <w:spacing w:before="225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73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Роструд</w:t>
            </w:r>
            <w:proofErr w:type="spellEnd"/>
            <w:r w:rsidRPr="009273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заново спланировал на 2026 г. мероприятия по профилактике рисков причинения вреда (ущерба) в рамках федерального госконтроля (надзора) за соблюдением трудового законодательства.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1" w:name="mailruanchor_a8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Планируется обновить правила оказания платных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медуслуг</w:t>
            </w:r>
            <w:bookmarkEnd w:id="1"/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8" w:history="1"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Постановления Правительства Российской Федерации "Об утверждении Правил предоставления медицинскими организациями платных медицинских услуг" (подготовлен Минздравом России 13.03.2026)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Предложены новые правила оказания клиниками платных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Существующие правила действуют до 1 сентября 2026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Закрепляется, что смета на платные услуги может быть твердая или приблизительная. Дистанционно договор можно будет заключать на сайте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медорганизации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в ее мобильном приложении (при их наличии). Уточняются документы для получения вычетов по НДФЛ.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2" w:name="mailruanchor_a9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В России создадут федеральный регистр вакцинации</w:t>
            </w:r>
            <w:bookmarkEnd w:id="2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0" w:history="1"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"Об утверждении правил ведения федерального регистра лиц, 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прививок,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и календарь профилактических прививок по эпидемическим показаниям" (подготовлен Минздравом России 03.04.2026)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ЕГИСЗ планируется вести федеральный регистр лиц, получивших профилактические прививки, включенные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нацкалендарь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календарь прививок по эпидемическим показаниям.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Туда также войдут сведения о лицах, у которых возникли поствакцинальные осложнения, о лицах с медицинскими противопоказаниями к вакцинации, об отказавшихся от прививок, а также данные о планируемых прививках.</w:t>
            </w:r>
            <w:proofErr w:type="gramEnd"/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Планируется обновить правила оказания платных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медуслуг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1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2" w:history="1"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оекта Постановления Правительства Российской Федерации "Об </w:t>
              </w:r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lastRenderedPageBreak/>
                <w:t>утверждении Правил предоставления медицинскими организациями платных медицинских услуг" (подготовлен Минздравом России 13.03.2026)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Предложены новые правила оказания клиниками платных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Существующие правила действуют до 1 сентября 2026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Закрепляется, что смета на платные услуги может быть твердая или приблизительная. Дистанционно договор можно будет заключать на сайте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медорганизации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в ее мобильном приложении (при их наличии). Уточняются документы для получения вычетов по НДФЛ.</w:t>
            </w:r>
          </w:p>
        </w:tc>
      </w:tr>
      <w:tr w:rsidR="00694F1E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694F1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В России создадут федеральный регистр вакцинации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" w:anchor="mailruanchor_top" w:history="1">
              <w:r w:rsidR="00694F1E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694F1E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4F1E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4" w:history="1">
              <w:proofErr w:type="gramStart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"Об утверждении правил ведения федерального регистра лиц, получивших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том числе с поствакцинальными осложнениями, лиц, имеющих медицинские противопоказания к проведению профилактических прививок, отказавшихся от указанных профилактических прививок, а также о планируемых лицам профилактических прививках, включенных в национальный календарь профилактических прививок</w:t>
              </w:r>
              <w:proofErr w:type="gramEnd"/>
              <w:r w:rsidR="00694F1E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и календарь профилактических прививок по эпидемическим показаниям" (подготовлен Минздравом России 03.04.2026)</w:t>
              </w:r>
            </w:hyperlink>
          </w:p>
          <w:p w:rsidR="00694F1E" w:rsidRDefault="00694F1E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ЕГИСЗ планируется вести федеральный регистр лиц, получивших профилактические прививки, включенные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нацкалендарь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календарь прививок по эпидемическим показаниям.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Туда также войдут сведения о лицах, у которых возникли поствакцинальные осложнения, о лицах с медицинскими противопоказаниями к вакцинации, об отказавшихся от прививок, а также данные о планируемых прививках.</w:t>
            </w:r>
            <w:proofErr w:type="gramEnd"/>
          </w:p>
        </w:tc>
      </w:tr>
      <w:tr w:rsidR="00701D28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701D28" w:rsidRDefault="00701D28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3" w:name="mailruanchor_a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Будут обновлены формы документов для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контроля за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уплатой страховых взносов на травматизм</w:t>
            </w:r>
            <w:bookmarkEnd w:id="3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701D28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5" w:anchor="mailruanchor_top" w:history="1">
              <w:r w:rsidR="00701D28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701D28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701D28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6" w:history="1">
              <w:r w:rsidR="00701D28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 внесении изменений в приказ Фонда пенсионного и социального страхования Российской Федерации от 31 мая 2023 г. № 933" (подготовлен Социальным фондом России 02.04.2026)</w:t>
              </w:r>
            </w:hyperlink>
          </w:p>
          <w:p w:rsidR="00701D28" w:rsidRDefault="00701D28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СФР планирует обновить формы документов, которые применяются: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в рамках контроля за уплатой страховых взносов на травматизм;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при проведении проверок полноты и достоверности сведений, необходимых для назначения и выплаты обеспечения по страхованию;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для принятия решения о финансировании расходов страхователя на предупредительные меры по сокращению производственного травматизма и профзаболеваний, а также на санаторно-курортное лечение.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частности, в требование о возмещении излишне понесенных расходов для получения возможности привязки платежа страхователя в ГИС ГМП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СФР к проводимым контрольным мероприятиям в отношении страхователя вносится УИН.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4" w:name="mailruanchor_a4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Предложен новый порядок разработки предельно допустимых и временно разрешенных выбросов в атмосферный воздух</w:t>
            </w:r>
            <w:bookmarkEnd w:id="4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7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8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 внесении изменений в постановление Правительства Российской Федерации от 9 декабря 2020 г. № 2055" (подготовлен Минприроды России 02.04.2026)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Планируется обновить порядок разработки и утверждения предельно допустимых и временно разрешенных выбросов (за исключением радиоактивных веществ) для стационарных источников, предельно допустимых нормативов физических воздействий на атмосферный воздух. Он будет действовать до 1 сентября 2032 г. Исключаются положения, установленные на период до получения комплексных экологических разрешений.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5" w:name="mailruanchor_a5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Готовятся обновленные правила лицензирования деятельности по обращению с отходами I-IV классов</w:t>
            </w:r>
            <w:bookmarkEnd w:id="5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9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0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текст проекта Постановления Правительства Российской Федерации "О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или) 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размещения)" (подготовлен Минприроды России 24.02.2026)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сентября 2026 г. перестанет действовать утвержденное в 2020 г. положение о лицензировании деятельности по сбору, транспортированию, обработке, утилизации, обезвреживанию, размещению отходов I-IV классов опасности. В связи с этим разработан проект нового положения. В целом правовое регулирование не меняется.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6" w:name="mailruanchor_a7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Предложены новые правила учета в области обращения с отходами</w:t>
            </w:r>
            <w:bookmarkEnd w:id="6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1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2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природных ресурсов и экологии Российской Федерации "Об утверждении Порядка учета в области обращения с отходами производства и потребления" (подготовлен Минприроды России 16.02.2026)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Минприроды спроектировало новый порядок учета в области обращения с отходами производства и потребления.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Учету подлежат все виды отходов I-V классов опасности, которые образуют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ИП или которые получены от других лиц. Обобщение данных об учете отходов будет осуществляться ежемесячно, ежеквартально, за полугодие и за календарный год в срок не позднее последнего дня месяца, следующего за указанными периодами. Данные об учете за квартал, 6 и 9 месяцев, а также за календарный год обобщаются нарастающим итогом.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Изменятся требования к структуре и содержанию тарифных соглашений в сфере ОМС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3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4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здравоохранения Российской Федерации "О внесении изменений в Требования к структуре и содержанию тарифного соглашения, утвержденные приказом Министерства здравоохранения Российской Федерации от 10 февраля 2023 г. № 44н" (подготовлен Минздравом России 02.02.2026)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Планируется скорректировать требования к структуре и содержанию тарифного соглашения, которым устанавливается порядок оплаты медпомощи по ОМС.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частности, обновляются коэффициенты сложности лечения пациентов в зависимости от используемых препаратов при проведении сопроводительной лекарственной терапии при злокачественных новообразованиях у взрослых. В стационарных условиях: для уровня 1 - 0,14, для уровня 2 - 0,34, для уровня 3 - 1,28. В условиях дневного стационара: для уровня 1 - 0,26, уровня 2 - 1,07, уровня 3 - 2,3.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Будут обновлены формы документов для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контроля за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уплатой страховых взносов на травматизм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5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6" w:history="1">
              <w:r w:rsidR="00A3448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 внесении изменений в приказ Фонда пенсионного и социального страхования Российской Федерации от 31 мая 2023 г. № 933" (подготовлен Социальным фондом России 02.04.2026)</w:t>
              </w:r>
            </w:hyperlink>
          </w:p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СФР планирует обновить формы документов, которые применяются: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в рамках контроля за уплатой страховых взносов на травматизм;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при проведении проверок полноты и достоверности сведений, необходимых для назначения и выплаты обеспечения по страхованию;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для принятия решения о финансировании расходов страхователя на предупредительные меры по сокращению производственного травматизма и профзаболеваний, а также на санаторно-курортное лечение.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частности, в требование о возмещении излишне понесенных расходов для получения возможности привязки платежа страхователя в ГИС ГМП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СФР к проводимым контрольным мероприятиям в отношении страхователя вносится УИН.</w:t>
            </w:r>
          </w:p>
        </w:tc>
      </w:tr>
      <w:tr w:rsidR="00A34487" w:rsidTr="00A3448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</w:tcPr>
          <w:p w:rsidR="00A34487" w:rsidRDefault="00A3448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3448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7" w:anchor="mailruanchor_top" w:history="1">
              <w:r w:rsidR="00A3448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34487" w:rsidTr="00A3448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</w:tcPr>
          <w:p w:rsidR="00A34487" w:rsidRDefault="00A3448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2B46" w:rsidTr="00552B4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52B46" w:rsidRDefault="00552B4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7" w:name="mailruanchor_a1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Регионы должны соблюдать предельные тарифы на исследования в центрах здоровья</w:t>
            </w:r>
            <w:bookmarkEnd w:id="7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552B46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8" w:anchor="mailruanchor_top" w:history="1">
              <w:r w:rsidR="00552B4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552B46" w:rsidTr="00552B4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552B46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9" w:history="1"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Федерального фонда обязательного медицинского страхования от 23 марта 2026 г. № 00-10-26-2-06/4990</w:t>
              </w:r>
              <w:proofErr w:type="gramStart"/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</w:t>
              </w:r>
              <w:proofErr w:type="gramEnd"/>
              <w:r w:rsidR="00552B4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тарифах на исследования</w:t>
              </w:r>
            </w:hyperlink>
          </w:p>
          <w:p w:rsidR="00552B46" w:rsidRDefault="00552B4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Ранее были установлены предельные стоимости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медуслуги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рамках примерных программ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заболеваний. По результатам анализа региональных тарифных соглашений установлено, что тарифы на одно и более исследований превышают предельные значения. Регионы должны внести в них изменения.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Для водителей автомобилей определят новый режим работы </w:t>
            </w: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и отдыха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0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1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</w:t>
              </w:r>
              <w:proofErr w:type="gramStart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кст пр</w:t>
              </w:r>
              <w:proofErr w:type="gramEnd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оекта Приказа Министерства транспорта Российской Федерации "Об установлении особенностей режима рабочего времени и времени отдыха водителей автомобилей" (подготовлен Минтрансом России 26.02.2026)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Планируется обновить особенности режима рабочего времени и времени отдыха водителей автомобилей. Действующие особенности применяются до 1 января 2027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Как и сейчас, нормальная продолжительность рабочего времени водителей не может превышать 40 часов в неделю. Однако если по условиям работы не может быть соблюдена ежедневная или еженедельная продолжительность, то допускается суммированный учет рабочего времени с продолжительностью учетного периода в 1 месяц.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Рабочий день водителя можно будет разделять на две части.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Еженедельный отдых должен будет составлять не менее 45 часов и должен быть предоставлен до начала седьмого рабочего дня после окончания предыдущего еженедельного непрерывного отдыха.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Правительственный порядок утверждения перечней опасных работ, для выполнения которых запрещено предоставлять персонал, утратит силу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2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3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Постановление Правительства Российской Федерации от 23 апреля 2026 г. № 458 “О признании утратившим силу постановления Правительства Российской Федерации от 10 апреля 2015 г. № 340” (документ не вступил в силу)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сентября 2026 г. утратят силу правительственные правила утверждения перечней отдельных видов работ, для выполнения которых на опасных производственных объектах I и II классов опасности частные агентства занятости не могут направлять сотрудников для работы по договору о предоставлении персонала.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указанной даты такие перечни будет утверждать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согласованию с Минтрудом и с учетом мнения Российской трехсторонней комиссии по регулированию социально-трудовых отношений.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8" w:name="mailruanchor_a6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Совет ЕЭК изменил требования к средствам индивидуальной защиты</w:t>
            </w:r>
            <w:bookmarkEnd w:id="8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4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5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Решение Совета Евразийской экономической комиссии от 13 марта 2026 г. № 40 "О внесении изменений в технический регламент Таможенного союза "О безопасности средств индивидуальной защиты" (TP ТС 019/2011)"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Скорректирован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ТР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ТС 019/2011 "О безопасности средств индивидуальной защиты".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частности, он распространяется в т. ч. на защиту от паукообразных (клещей). Закреплены требования к репеллентам. Прописаны понятия защитного приспособления, действующего вещества, респиратора, анкерного устройства.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Включены средства защиты от порезов ручной цепной пилой. Это, например, спецодежда, защитные приспособления, которые должны иметь защитную область в зависимости от размера и обеспечивать сопротивление сквозному разрезанию при скорости пилы от 16 до 28 метров в секунду. Введены требования и к обуви.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Уточнены требования к защите от падения с высоты, к спецодежде для защиты от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термических рисков электрической дуги, от повышенных и пониженных температур и др.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Обновлен список средств индивидуальной защиты, подлежащих обязательному подтверждению соответствия при выпуске в обращение.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Решение вступает в силу по истечении 12 месяцев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даты его официального опубликования, за исключением отдельных положений, для которых предусмотрен иной срок.</w:t>
            </w:r>
          </w:p>
        </w:tc>
      </w:tr>
      <w:tr w:rsidR="00AF1FF6" w:rsidTr="00AF1FF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AF1FF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9" w:name="mailruanchor_a1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Работников, выполняющих сварочные работы на опасных производственных объектах, планируется освободить от аттестации</w:t>
            </w:r>
            <w:bookmarkEnd w:id="9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6" w:anchor="mailruanchor_top" w:history="1">
              <w:r w:rsidR="00AF1FF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AF1FF6" w:rsidTr="00AF1FF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1FF6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7" w:history="1"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Постановления Правительства Российской Федерации "О внесении изменений в некоторые акты Правительства Российской Федерации" (подготовлен </w:t>
              </w:r>
              <w:proofErr w:type="spellStart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Ростехнадзором</w:t>
              </w:r>
              <w:proofErr w:type="spellEnd"/>
              <w:r w:rsidR="00AF1FF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21.04.2026)</w:t>
              </w:r>
            </w:hyperlink>
          </w:p>
          <w:p w:rsidR="00AF1FF6" w:rsidRDefault="00AF1FF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Планируется закрепить полномочие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осуществлению федерального госконтроля (надзора) за деятельностью СРО в области проверки готовности сварочного производства.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Проходить аттестацию в области промышленной безопасности не потребуется работникам, которые выполняют сварочные работы на опасных производственных объектах, отвечают за организацию таких работ и их контроль. Условие - прохождение ими проверки готовности к данным работам либо независимой оценки квалификации.</w:t>
            </w:r>
          </w:p>
        </w:tc>
      </w:tr>
      <w:tr w:rsidR="00D66FCF" w:rsidTr="00D66FC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66FCF" w:rsidRDefault="00D66FC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Ростехнадзор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продлил действие правил безопасности при ведении горных работ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D66FCF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8" w:anchor="mailruanchor_top" w:history="1">
              <w:r w:rsidR="00D66FCF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D66FCF" w:rsidTr="00D66FC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66FCF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9" w:history="1">
              <w:r w:rsidR="00D66FCF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Приказ Федеральной службы по экологическому, технологическому и атомному надзору от 24 марта 2026 г. № 94 "О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на объектах ведения горных работ" (документ не вступил в силу)</w:t>
              </w:r>
            </w:hyperlink>
          </w:p>
          <w:p w:rsidR="00D66FCF" w:rsidRDefault="00D66FCF">
            <w:pPr>
              <w:pStyle w:val="a4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28 Апреля 2026 г. Регистрационный N 86254.</w:t>
            </w:r>
          </w:p>
          <w:p w:rsidR="00D66FCF" w:rsidRDefault="00D66FCF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период до 1 сентября 2032 г. продлено действие: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правил обеспечения устойчивости бортов и уступов карьеров, разрезов и откосов отвалов;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правил безопасности при ведении горных работ и переработке твердых полезных ископаемых.</w:t>
            </w:r>
          </w:p>
        </w:tc>
      </w:tr>
      <w:tr w:rsidR="002F0AD7" w:rsidTr="002F0AD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F0AD7" w:rsidRDefault="002F0AD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На 2027 г. установят показатели для расчета скидок и надбавок к страховым взносам на травматизм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2F0AD7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0" w:anchor="mailruanchor_top" w:history="1">
              <w:r w:rsidR="002F0AD7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2F0AD7" w:rsidTr="002F0AD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F0AD7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1" w:history="1">
              <w:r w:rsidR="002F0AD7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Фонда пенсионного и социального страхования Российской Федерации "Об утверждении значений основных показателей по видам экономической деятельности на 2027 год" (подготовлен Социальным фондом России 04.05.2026)</w:t>
              </w:r>
            </w:hyperlink>
          </w:p>
          <w:p w:rsidR="002F0AD7" w:rsidRDefault="002F0AD7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Планируется установить значения основных показателей по видам экономической деятельности на 2027 г. Они нужны для расчета скидок и надбавок к страховым тарифам на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ОСС от несчастных случаев на производстве и профзаболеваний.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Для ОПО определят требования к выполнению сварочных работ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2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3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экологическому, технологическому и атомному надзору "Об утверждении Федеральных норм и правил в области промышленной безопасности "Требования к выполнению сварочных работ на опасных производственных объектах" (подготовлен </w:t>
              </w:r>
              <w:proofErr w:type="spellStart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Ростехнадзором</w:t>
              </w:r>
              <w:proofErr w:type="spellEnd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18.05.2026)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Предложены требования к выполнению сварочных работ на ОПО.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Они будут применяться при строительстве, эксплуатации, реконструкции, капремонте, техническом перевооружении, консервации и ликвидации ОПО, а также при монтаже, наладке, обслуживании и ремонте применяемых на ОПО технических устройств. Оговорены требования к работникам, оформление документации.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Разъяснен порядок уведомления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Росприроднадзора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о способе расчета квартального авансового платежа за негативное воздействие на окружающую среду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4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5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Письмо Министерства природных ресурсов и экологии Российской Федерации от 6 мая 2026 г. № 19-47/19710 "О порядке уведомления </w:t>
              </w:r>
              <w:proofErr w:type="spellStart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Росприроднадзора</w:t>
              </w:r>
              <w:proofErr w:type="spellEnd"/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 способе расчета авансового платежа за НВОС"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Выбранный способ исчисления размера квартального авансового платежа на год, следующий за отчетным периодом, по каждому виду негативного воздействия на окружающую среду указывается в составе декларации о плате за негативное воздействие на окружающую среду за отчетный период.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До 1 января 2027 г. в ДНР, ЛНР, Запорожской и Херсонской областях не применяются нормы об исчислении и взимании платы за негативное воздействие на окружающую среду и подаче декларации. За 2026 г. ее подавать не нужно. "Нулевая" декларация только для фиксации способа расчета авансовых платежей не подается.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Если предприятия начинают исчислять и вносить плату с 2027 г., целесообразно выбрать расчет авансовых платежей исходя из данных ПЭК за текущий квартал. В переходный период 2027 г. направлять уведомление о выборе этого способа не нужно. Подавая декларацию за 2027 г. (до 10 марта 2028 г.), можно указать, что авансовые платежи в течение отчетного года рассчитывались по фактическим данным ПЭК, или в течение отчетного года самостоятельно письменно уведомить об этом.</w:t>
            </w:r>
          </w:p>
        </w:tc>
      </w:tr>
      <w:tr w:rsidR="00B36C7D" w:rsidTr="00B36C7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B36C7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Разъяснен порядок внесения изменений в декларацию о воздействии на окружающую среду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6" w:anchor="mailruanchor_top" w:history="1">
              <w:r w:rsidR="00B36C7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B36C7D" w:rsidTr="00B36C7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B36C7D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7" w:history="1">
              <w:r w:rsidR="00B36C7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Министерства природных ресурсов и экологии Российской Федерации от 5 марта 2026 г. № 25-47/9579 "О рассмотрении обращения"</w:t>
              </w:r>
            </w:hyperlink>
          </w:p>
          <w:p w:rsidR="00B36C7D" w:rsidRDefault="00B36C7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Организации и ИП, ведущие деятельность на объектах НВОС II категории (кроме тех, на которые получено комплексное экологическое разрешение), обязаны подавать декларацию 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воздействии на окружающую среду. Она представляется 1 раз в 7 лет при условии неизменности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Изменения в декларацию вносятся одновременно с актуализацией сведений об объектах НВОС.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Последняя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возможна в определенных случаях (например, при реорганизации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местонахождении объекта, характеристик технологических процессов основных производств, источников загрязнения окружающей среды).</w:t>
            </w:r>
          </w:p>
        </w:tc>
      </w:tr>
      <w:tr w:rsidR="004758DB" w:rsidTr="004758D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О применении методик измерений факторов производственной среды и трудового процесса для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условий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8" w:anchor="mailruanchor_top" w:history="1">
              <w:r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4758DB" w:rsidTr="004758D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Министерства труда и социальной защиты Российской Федерации от 21 мая 2026 г. № 15-1/ООГ-884</w:t>
              </w:r>
              <w:proofErr w:type="gramStart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О</w:t>
              </w:r>
              <w:proofErr w:type="gramEnd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применении аттестованных методик измерений факторов производственной среды и трудового процесса для целей специальной оценки условий труда</w:t>
              </w:r>
            </w:hyperlink>
          </w:p>
          <w:p w:rsidR="004758DB" w:rsidRDefault="004758DB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2024 г. Минтруд разместил в открытом доступе в ЕИСОТ аттестованные методики измерений факторов производственной среды и трудового процесса для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труда. Они являются актуализированными относительно методик 2018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При этом в настоящее время возможно применение любой аттестованной методики, имеющейся в открытом доступе в ЕИСОТ, а также иных аттестованных методик измерений, размещенных в ФГИС "АРШИН".</w:t>
            </w:r>
          </w:p>
        </w:tc>
      </w:tr>
      <w:tr w:rsidR="004758DB" w:rsidTr="004758D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Росприроднадзор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регламентирует выдачу разрешений на временные выбросы загрязняющих веществ в атмосферу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0" w:anchor="mailruanchor_top" w:history="1">
              <w:r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4758DB" w:rsidTr="004758D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4758DB" w:rsidRDefault="004758DB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надзору в сфере природопользования "Об утверждении Административного регламента Федеральной службы по надзору в сфере природопользования по предоставлению государственной услуги "Выдача разрешения на временные выбросы загрязняющих веществ в атмосферный воздух (за исключением радиоактивных)" (подготовлен </w:t>
              </w:r>
              <w:proofErr w:type="spellStart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Росприроднадзором</w:t>
              </w:r>
              <w:proofErr w:type="spellEnd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18.05.2026)</w:t>
              </w:r>
            </w:hyperlink>
          </w:p>
          <w:p w:rsidR="004758DB" w:rsidRDefault="004758DB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Подготовлен регламент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Росприроднадзора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выдаче разрешений на временные выбросы загрязняющих веществ в атмосферу (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кроме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радиоактивных).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Услуга будет предоставляться территориальными органами ведомства в соответствии с категориями (признаками) заявителя, сведения о которых размещаются в реестре государственных и муниципальных услуг (функций) и на Едином портале. Максимальный срок ее оказания - 30 рабочих дней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 даты регистрации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заявления и необходимых документов. Выписку из реестра выданных разрешений можно будет получить посредством личного кабинета на Едином портале.</w:t>
            </w:r>
          </w:p>
        </w:tc>
      </w:tr>
    </w:tbl>
    <w:p w:rsidR="00AF06A2" w:rsidRPr="00AF1FF6" w:rsidRDefault="00AF06A2" w:rsidP="00701D28">
      <w:bookmarkStart w:id="10" w:name="_GoBack"/>
      <w:bookmarkEnd w:id="10"/>
    </w:p>
    <w:sectPr w:rsidR="00AF06A2" w:rsidRPr="00AF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D5"/>
    <w:rsid w:val="002F0AD7"/>
    <w:rsid w:val="004758DB"/>
    <w:rsid w:val="004E2673"/>
    <w:rsid w:val="00552B46"/>
    <w:rsid w:val="00694F1E"/>
    <w:rsid w:val="00701D28"/>
    <w:rsid w:val="009273D5"/>
    <w:rsid w:val="00A34487"/>
    <w:rsid w:val="00AF06A2"/>
    <w:rsid w:val="00AF1FF6"/>
    <w:rsid w:val="00B36C7D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inbox/0:17756548031667777506:0/" TargetMode="External"/><Relationship Id="rId18" Type="http://schemas.openxmlformats.org/officeDocument/2006/relationships/hyperlink" Target="https://service.garant.ru/prime/open/494158389/56951784/77-40846" TargetMode="External"/><Relationship Id="rId26" Type="http://schemas.openxmlformats.org/officeDocument/2006/relationships/hyperlink" Target="https://service.garant.ru/prime/open/494158389/56951876/77-40846" TargetMode="External"/><Relationship Id="rId39" Type="http://schemas.openxmlformats.org/officeDocument/2006/relationships/hyperlink" Target="https://service.garant.ru/prime/open/498975784/414048131/77-408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mail.ru/inbox/0:17757412881569261592:0/" TargetMode="External"/><Relationship Id="rId34" Type="http://schemas.openxmlformats.org/officeDocument/2006/relationships/hyperlink" Target="https://e.mail.ru/inbox/0:17773797922016596427:0/" TargetMode="External"/><Relationship Id="rId42" Type="http://schemas.openxmlformats.org/officeDocument/2006/relationships/hyperlink" Target="https://e.mail.ru/inbox/0:17794533241751013287:0/" TargetMode="External"/><Relationship Id="rId47" Type="http://schemas.openxmlformats.org/officeDocument/2006/relationships/hyperlink" Target="https://service.garant.ru/prime/open/503371980/414155123/77-40846" TargetMode="External"/><Relationship Id="rId50" Type="http://schemas.openxmlformats.org/officeDocument/2006/relationships/hyperlink" Target="https://e.mail.ru/inbox/0:17797197160222621592:0/" TargetMode="External"/><Relationship Id="rId7" Type="http://schemas.openxmlformats.org/officeDocument/2006/relationships/hyperlink" Target="https://e.mail.ru/inbox/0:17756548031667777506:0/" TargetMode="External"/><Relationship Id="rId12" Type="http://schemas.openxmlformats.org/officeDocument/2006/relationships/hyperlink" Target="https://service.garant.ru/prime/open/493974113/56951703/77-40846" TargetMode="External"/><Relationship Id="rId17" Type="http://schemas.openxmlformats.org/officeDocument/2006/relationships/hyperlink" Target="https://e.mail.ru/inbox/0:17757412881569261592:0/" TargetMode="External"/><Relationship Id="rId25" Type="http://schemas.openxmlformats.org/officeDocument/2006/relationships/hyperlink" Target="https://e.mail.ru/inbox/0:17757412881569261592:0/" TargetMode="External"/><Relationship Id="rId33" Type="http://schemas.openxmlformats.org/officeDocument/2006/relationships/hyperlink" Target="https://service.garant.ru/prime/open/497463792/414009747/77-40846" TargetMode="External"/><Relationship Id="rId38" Type="http://schemas.openxmlformats.org/officeDocument/2006/relationships/hyperlink" Target="https://e.mail.ru/inbox/0:17778986021459327020:0/" TargetMode="External"/><Relationship Id="rId46" Type="http://schemas.openxmlformats.org/officeDocument/2006/relationships/hyperlink" Target="https://e.mail.ru/inbox/0:17794561911390318382: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ervice.garant.ru/prime/open/494053357/56951876/77-40846" TargetMode="External"/><Relationship Id="rId20" Type="http://schemas.openxmlformats.org/officeDocument/2006/relationships/hyperlink" Target="https://service.garant.ru/prime/open/494158389/56951693/77-40846" TargetMode="External"/><Relationship Id="rId29" Type="http://schemas.openxmlformats.org/officeDocument/2006/relationships/hyperlink" Target="https://service.garant.ru/prime/open/494342709/413934345/77-40846" TargetMode="External"/><Relationship Id="rId41" Type="http://schemas.openxmlformats.org/officeDocument/2006/relationships/hyperlink" Target="https://service.garant.ru/prime/open/499841805/56954709/77-40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garant.ru/prime/open/492172941/413831064/77-40846" TargetMode="External"/><Relationship Id="rId11" Type="http://schemas.openxmlformats.org/officeDocument/2006/relationships/hyperlink" Target="https://e.mail.ru/inbox/0:17756548031667777506:0/" TargetMode="External"/><Relationship Id="rId24" Type="http://schemas.openxmlformats.org/officeDocument/2006/relationships/hyperlink" Target="https://service.garant.ru/prime/open/494158389/56951680/77-40846" TargetMode="External"/><Relationship Id="rId32" Type="http://schemas.openxmlformats.org/officeDocument/2006/relationships/hyperlink" Target="https://e.mail.ru/inbox/0:17772939722094358521:0/" TargetMode="External"/><Relationship Id="rId37" Type="http://schemas.openxmlformats.org/officeDocument/2006/relationships/hyperlink" Target="https://service.garant.ru/prime/open/498249877/56953534/77-40846" TargetMode="External"/><Relationship Id="rId40" Type="http://schemas.openxmlformats.org/officeDocument/2006/relationships/hyperlink" Target="https://e.mail.ru/inbox/0:17779877190476148446:0/" TargetMode="External"/><Relationship Id="rId45" Type="http://schemas.openxmlformats.org/officeDocument/2006/relationships/hyperlink" Target="https://service.garant.ru/prime/open/503371980/414155093/77-4084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.mail.ru/inbox/0:17749605391419136401:0/" TargetMode="External"/><Relationship Id="rId15" Type="http://schemas.openxmlformats.org/officeDocument/2006/relationships/hyperlink" Target="https://e.mail.ru/inbox/0:17757386530729938349:0/" TargetMode="External"/><Relationship Id="rId23" Type="http://schemas.openxmlformats.org/officeDocument/2006/relationships/hyperlink" Target="https://e.mail.ru/inbox/0:17757412881569261592:0/" TargetMode="External"/><Relationship Id="rId28" Type="http://schemas.openxmlformats.org/officeDocument/2006/relationships/hyperlink" Target="https://e.mail.ru/inbox/0:17758278371267248718:0/" TargetMode="External"/><Relationship Id="rId36" Type="http://schemas.openxmlformats.org/officeDocument/2006/relationships/hyperlink" Target="https://e.mail.ru/inbox/0:17773797922016596427:0/" TargetMode="External"/><Relationship Id="rId49" Type="http://schemas.openxmlformats.org/officeDocument/2006/relationships/hyperlink" Target="https://service.garant.ru/prime/open/503454621/414168458/77-40846" TargetMode="External"/><Relationship Id="rId10" Type="http://schemas.openxmlformats.org/officeDocument/2006/relationships/hyperlink" Target="https://service.garant.ru/prime/open/493974113/56951731/77-40846" TargetMode="External"/><Relationship Id="rId19" Type="http://schemas.openxmlformats.org/officeDocument/2006/relationships/hyperlink" Target="https://e.mail.ru/inbox/0:17757412881569261592:0/" TargetMode="External"/><Relationship Id="rId31" Type="http://schemas.openxmlformats.org/officeDocument/2006/relationships/hyperlink" Target="https://service.garant.ru/prime/open/497463792/56952846/77-40846" TargetMode="External"/><Relationship Id="rId44" Type="http://schemas.openxmlformats.org/officeDocument/2006/relationships/hyperlink" Target="https://e.mail.ru/inbox/0:17794561911390318382:0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inbox/0:17756548031667777506:0/" TargetMode="External"/><Relationship Id="rId14" Type="http://schemas.openxmlformats.org/officeDocument/2006/relationships/hyperlink" Target="https://service.garant.ru/prime/open/493974113/56951731/77-40846" TargetMode="External"/><Relationship Id="rId22" Type="http://schemas.openxmlformats.org/officeDocument/2006/relationships/hyperlink" Target="https://service.garant.ru/prime/open/494158389/56951689/77-40846" TargetMode="External"/><Relationship Id="rId27" Type="http://schemas.openxmlformats.org/officeDocument/2006/relationships/hyperlink" Target="https://e.mail.ru/inbox/0:17757412881569261592:0/" TargetMode="External"/><Relationship Id="rId30" Type="http://schemas.openxmlformats.org/officeDocument/2006/relationships/hyperlink" Target="https://e.mail.ru/inbox/0:17772939722094358521:0/" TargetMode="External"/><Relationship Id="rId35" Type="http://schemas.openxmlformats.org/officeDocument/2006/relationships/hyperlink" Target="https://service.garant.ru/prime/open/498249877/414025301/77-40846" TargetMode="External"/><Relationship Id="rId43" Type="http://schemas.openxmlformats.org/officeDocument/2006/relationships/hyperlink" Target="https://service.garant.ru/prime/open/503273253/56955693/77-40846" TargetMode="External"/><Relationship Id="rId48" Type="http://schemas.openxmlformats.org/officeDocument/2006/relationships/hyperlink" Target="https://e.mail.ru/inbox/0:17797129212080891761:0/" TargetMode="External"/><Relationship Id="rId8" Type="http://schemas.openxmlformats.org/officeDocument/2006/relationships/hyperlink" Target="https://service.garant.ru/prime/open/493974113/56951703/77-40846" TargetMode="External"/><Relationship Id="rId51" Type="http://schemas.openxmlformats.org/officeDocument/2006/relationships/hyperlink" Target="https://service.garant.ru/prime/open/503553085/56955763/77-4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19</cp:revision>
  <dcterms:created xsi:type="dcterms:W3CDTF">2026-04-01T00:21:00Z</dcterms:created>
  <dcterms:modified xsi:type="dcterms:W3CDTF">2026-05-26T00:24:00Z</dcterms:modified>
</cp:coreProperties>
</file>