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E2" w:rsidRDefault="004613A7">
      <w:r>
        <w:t>2026</w:t>
      </w:r>
    </w:p>
    <w:tbl>
      <w:tblPr>
        <w:tblW w:w="5000" w:type="pct"/>
        <w:shd w:val="clear" w:color="auto" w:fill="FFFFFF"/>
        <w:tblCellMar>
          <w:left w:w="0" w:type="dxa"/>
          <w:right w:w="0" w:type="dxa"/>
        </w:tblCellMar>
        <w:tblLook w:val="04A0" w:firstRow="1" w:lastRow="0" w:firstColumn="1" w:lastColumn="0" w:noHBand="0" w:noVBand="1"/>
      </w:tblPr>
      <w:tblGrid>
        <w:gridCol w:w="8972"/>
        <w:gridCol w:w="938"/>
      </w:tblGrid>
      <w:tr w:rsidR="00C96E99" w:rsidRPr="00C96E99" w:rsidTr="00C96E99">
        <w:tc>
          <w:tcPr>
            <w:tcW w:w="0" w:type="auto"/>
            <w:tcBorders>
              <w:top w:val="single" w:sz="6" w:space="0" w:color="DDDEE0"/>
            </w:tcBorders>
            <w:shd w:val="clear" w:color="auto" w:fill="FFFFFF"/>
            <w:tcMar>
              <w:top w:w="330" w:type="dxa"/>
              <w:left w:w="375" w:type="dxa"/>
              <w:bottom w:w="0" w:type="dxa"/>
              <w:right w:w="180" w:type="dxa"/>
            </w:tcMar>
            <w:vAlign w:val="center"/>
            <w:hideMark/>
          </w:tcPr>
          <w:p w:rsidR="00C96E99" w:rsidRPr="00C96E99" w:rsidRDefault="00C96E99" w:rsidP="00C96E99">
            <w:pPr>
              <w:spacing w:after="0" w:line="480" w:lineRule="atLeast"/>
              <w:outlineLvl w:val="0"/>
              <w:rPr>
                <w:rFonts w:ascii="Arial" w:eastAsia="Times New Roman" w:hAnsi="Arial" w:cs="Arial"/>
                <w:b/>
                <w:bCs/>
                <w:color w:val="000000"/>
                <w:kern w:val="36"/>
                <w:sz w:val="27"/>
                <w:szCs w:val="27"/>
                <w:lang w:eastAsia="ru-RU"/>
              </w:rPr>
            </w:pPr>
            <w:bookmarkStart w:id="0" w:name="mailruanchor_a3"/>
            <w:r w:rsidRPr="00C96E99">
              <w:rPr>
                <w:rFonts w:ascii="Arial" w:eastAsia="Times New Roman" w:hAnsi="Arial" w:cs="Arial"/>
                <w:b/>
                <w:bCs/>
                <w:color w:val="0070F0"/>
                <w:kern w:val="36"/>
                <w:sz w:val="27"/>
                <w:szCs w:val="27"/>
                <w:u w:val="single"/>
                <w:lang w:eastAsia="ru-RU"/>
              </w:rPr>
              <w:t>Продлевается действие поправок к требованиям безопасности процессов получения или применения металлов</w:t>
            </w:r>
            <w:bookmarkEnd w:id="0"/>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C96E99" w:rsidRPr="00C96E99" w:rsidRDefault="001B0097" w:rsidP="00C96E99">
            <w:pPr>
              <w:spacing w:after="0" w:line="240" w:lineRule="auto"/>
              <w:jc w:val="right"/>
              <w:rPr>
                <w:rFonts w:ascii="Arial" w:eastAsia="Times New Roman" w:hAnsi="Arial" w:cs="Arial"/>
                <w:color w:val="2C2D2E"/>
                <w:sz w:val="23"/>
                <w:szCs w:val="23"/>
                <w:lang w:eastAsia="ru-RU"/>
              </w:rPr>
            </w:pPr>
            <w:hyperlink r:id="rId5" w:anchor="mailruanchor_top" w:history="1">
              <w:r w:rsidR="00C96E99" w:rsidRPr="00C96E99">
                <w:rPr>
                  <w:rFonts w:ascii="Arial" w:eastAsia="Times New Roman" w:hAnsi="Arial" w:cs="Arial"/>
                  <w:color w:val="737881"/>
                  <w:sz w:val="18"/>
                  <w:szCs w:val="18"/>
                  <w:shd w:val="clear" w:color="auto" w:fill="F4F4F5"/>
                  <w:lang w:eastAsia="ru-RU"/>
                </w:rPr>
                <w:t>Наверх</w:t>
              </w:r>
            </w:hyperlink>
          </w:p>
        </w:tc>
      </w:tr>
      <w:tr w:rsidR="00C96E99" w:rsidRPr="00C96E99" w:rsidTr="00C96E99">
        <w:tc>
          <w:tcPr>
            <w:tcW w:w="0" w:type="auto"/>
            <w:gridSpan w:val="2"/>
            <w:shd w:val="clear" w:color="auto" w:fill="FFFFFF"/>
            <w:tcMar>
              <w:top w:w="225" w:type="dxa"/>
              <w:left w:w="375" w:type="dxa"/>
              <w:bottom w:w="0" w:type="dxa"/>
              <w:right w:w="180" w:type="dxa"/>
            </w:tcMar>
            <w:vAlign w:val="center"/>
            <w:hideMark/>
          </w:tcPr>
          <w:p w:rsidR="00C96E99" w:rsidRPr="00C96E99" w:rsidRDefault="001B0097" w:rsidP="00C96E99">
            <w:pPr>
              <w:spacing w:after="225" w:line="240" w:lineRule="auto"/>
              <w:rPr>
                <w:rFonts w:ascii="Arial" w:eastAsia="Times New Roman" w:hAnsi="Arial" w:cs="Arial"/>
                <w:color w:val="2C2D2E"/>
                <w:sz w:val="21"/>
                <w:szCs w:val="21"/>
                <w:lang w:eastAsia="ru-RU"/>
              </w:rPr>
            </w:pPr>
            <w:hyperlink r:id="rId6" w:history="1">
              <w:proofErr w:type="gramStart"/>
              <w:r w:rsidR="00C96E99" w:rsidRPr="00C96E99">
                <w:rPr>
                  <w:rFonts w:ascii="Arial" w:eastAsia="Times New Roman" w:hAnsi="Arial" w:cs="Arial"/>
                  <w:color w:val="004FD3"/>
                  <w:sz w:val="21"/>
                  <w:szCs w:val="21"/>
                  <w:lang w:eastAsia="ru-RU"/>
                </w:rPr>
                <w:t>Проект Приказа Федеральной службы по экологическому, технологическому и атомному надзору "О внесении изменений в приказ Федеральной службы по экологическому, технологическому и атомному надзору от 14 января 2025 г. № 5 "О внесении изменений в Федеральные нормы и правила в области промышленной безопасности "Правила безопасности процессов получения или применения металлов", утвержденные приказом Федеральной службы по экологическому, технологическому и атомному надзору от 9</w:t>
              </w:r>
              <w:proofErr w:type="gramEnd"/>
              <w:r w:rsidR="00C96E99" w:rsidRPr="00C96E99">
                <w:rPr>
                  <w:rFonts w:ascii="Arial" w:eastAsia="Times New Roman" w:hAnsi="Arial" w:cs="Arial"/>
                  <w:color w:val="004FD3"/>
                  <w:sz w:val="21"/>
                  <w:szCs w:val="21"/>
                  <w:lang w:eastAsia="ru-RU"/>
                </w:rPr>
                <w:t xml:space="preserve"> декабря 2020 г. № 512" (подготовлен </w:t>
              </w:r>
              <w:proofErr w:type="spellStart"/>
              <w:r w:rsidR="00C96E99" w:rsidRPr="00C96E99">
                <w:rPr>
                  <w:rFonts w:ascii="Arial" w:eastAsia="Times New Roman" w:hAnsi="Arial" w:cs="Arial"/>
                  <w:color w:val="004FD3"/>
                  <w:sz w:val="21"/>
                  <w:szCs w:val="21"/>
                  <w:lang w:eastAsia="ru-RU"/>
                </w:rPr>
                <w:t>Ростехнадзором</w:t>
              </w:r>
              <w:proofErr w:type="spellEnd"/>
              <w:r w:rsidR="00C96E99" w:rsidRPr="00C96E99">
                <w:rPr>
                  <w:rFonts w:ascii="Arial" w:eastAsia="Times New Roman" w:hAnsi="Arial" w:cs="Arial"/>
                  <w:color w:val="004FD3"/>
                  <w:sz w:val="21"/>
                  <w:szCs w:val="21"/>
                  <w:lang w:eastAsia="ru-RU"/>
                </w:rPr>
                <w:t xml:space="preserve"> 30.01.2026)</w:t>
              </w:r>
            </w:hyperlink>
          </w:p>
          <w:p w:rsidR="00C96E99" w:rsidRPr="00C96E99" w:rsidRDefault="00C96E99" w:rsidP="00C96E99">
            <w:pPr>
              <w:spacing w:before="225" w:after="360" w:line="240" w:lineRule="auto"/>
              <w:rPr>
                <w:rFonts w:ascii="Arial" w:eastAsia="Times New Roman" w:hAnsi="Arial" w:cs="Arial"/>
                <w:color w:val="000000"/>
                <w:sz w:val="21"/>
                <w:szCs w:val="21"/>
                <w:lang w:eastAsia="ru-RU"/>
              </w:rPr>
            </w:pPr>
            <w:r w:rsidRPr="00C96E99">
              <w:rPr>
                <w:rFonts w:ascii="Arial" w:eastAsia="Times New Roman" w:hAnsi="Arial" w:cs="Arial"/>
                <w:color w:val="000000"/>
                <w:sz w:val="21"/>
                <w:szCs w:val="21"/>
                <w:lang w:eastAsia="ru-RU"/>
              </w:rPr>
              <w:t>На период до 1 сентября 2032 г. планируется продлить действие изменений, внесенных в Правила безопасности процессов получения или применения металлов.</w:t>
            </w:r>
            <w:r w:rsidRPr="00C96E99">
              <w:rPr>
                <w:rFonts w:ascii="Arial" w:eastAsia="Times New Roman" w:hAnsi="Arial" w:cs="Arial"/>
                <w:color w:val="000000"/>
                <w:sz w:val="21"/>
                <w:szCs w:val="21"/>
                <w:lang w:eastAsia="ru-RU"/>
              </w:rPr>
              <w:br/>
              <w:t>В частности, уточнены требования к образованию руководителей организаций металлургической промышленности. Отменена необходимость наличия технологической или производственной инструкции для работы с радиоактивными веществами.</w:t>
            </w:r>
          </w:p>
        </w:tc>
      </w:tr>
      <w:tr w:rsidR="00EF7D40" w:rsidTr="00EF7D40">
        <w:tc>
          <w:tcPr>
            <w:tcW w:w="0" w:type="auto"/>
            <w:tcBorders>
              <w:top w:val="single" w:sz="6" w:space="0" w:color="DDDEE0"/>
            </w:tcBorders>
            <w:shd w:val="clear" w:color="auto" w:fill="FFFFFF"/>
            <w:tcMar>
              <w:top w:w="330" w:type="dxa"/>
              <w:left w:w="375" w:type="dxa"/>
              <w:bottom w:w="0" w:type="dxa"/>
              <w:right w:w="180" w:type="dxa"/>
            </w:tcMar>
            <w:vAlign w:val="center"/>
            <w:hideMark/>
          </w:tcPr>
          <w:p w:rsidR="00EF7D40" w:rsidRDefault="00EF7D40">
            <w:pPr>
              <w:pStyle w:val="1"/>
              <w:spacing w:before="0" w:beforeAutospacing="0" w:after="0" w:afterAutospacing="0" w:line="480" w:lineRule="atLeast"/>
              <w:rPr>
                <w:rFonts w:ascii="Arial" w:hAnsi="Arial" w:cs="Arial"/>
                <w:color w:val="000000"/>
                <w:sz w:val="27"/>
                <w:szCs w:val="27"/>
              </w:rPr>
            </w:pPr>
            <w:bookmarkStart w:id="1" w:name="mailruanchor_a7"/>
            <w:proofErr w:type="spellStart"/>
            <w:r>
              <w:rPr>
                <w:rFonts w:ascii="Arial" w:hAnsi="Arial" w:cs="Arial"/>
                <w:color w:val="0070F0"/>
                <w:sz w:val="27"/>
                <w:szCs w:val="27"/>
                <w:u w:val="single"/>
              </w:rPr>
              <w:t>Ростехнадзор</w:t>
            </w:r>
            <w:proofErr w:type="spellEnd"/>
            <w:r>
              <w:rPr>
                <w:rFonts w:ascii="Arial" w:hAnsi="Arial" w:cs="Arial"/>
                <w:color w:val="0070F0"/>
                <w:sz w:val="27"/>
                <w:szCs w:val="27"/>
                <w:u w:val="single"/>
              </w:rPr>
              <w:t xml:space="preserve"> составит список опасных работ, для выполнения которых запрещено предоставлять персонал</w:t>
            </w:r>
            <w:bookmarkEnd w:id="1"/>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EF7D40" w:rsidRDefault="001B0097">
            <w:pPr>
              <w:jc w:val="right"/>
              <w:rPr>
                <w:rFonts w:ascii="Arial" w:hAnsi="Arial" w:cs="Arial"/>
                <w:color w:val="2C2D2E"/>
                <w:sz w:val="23"/>
                <w:szCs w:val="23"/>
              </w:rPr>
            </w:pPr>
            <w:hyperlink r:id="rId7" w:anchor="mailruanchor_top" w:history="1">
              <w:r w:rsidR="00EF7D40">
                <w:rPr>
                  <w:rStyle w:val="a3"/>
                  <w:rFonts w:ascii="Arial" w:hAnsi="Arial" w:cs="Arial"/>
                  <w:color w:val="737881"/>
                  <w:sz w:val="18"/>
                  <w:szCs w:val="18"/>
                  <w:u w:val="none"/>
                  <w:shd w:val="clear" w:color="auto" w:fill="F4F4F5"/>
                </w:rPr>
                <w:t>Наверх</w:t>
              </w:r>
            </w:hyperlink>
          </w:p>
        </w:tc>
      </w:tr>
      <w:tr w:rsidR="00EF7D40" w:rsidTr="00EF7D40">
        <w:tc>
          <w:tcPr>
            <w:tcW w:w="0" w:type="auto"/>
            <w:gridSpan w:val="2"/>
            <w:shd w:val="clear" w:color="auto" w:fill="FFFFFF"/>
            <w:tcMar>
              <w:top w:w="225" w:type="dxa"/>
              <w:left w:w="375" w:type="dxa"/>
              <w:bottom w:w="0" w:type="dxa"/>
              <w:right w:w="180" w:type="dxa"/>
            </w:tcMar>
            <w:vAlign w:val="center"/>
            <w:hideMark/>
          </w:tcPr>
          <w:p w:rsidR="00EF7D40" w:rsidRDefault="00EF7D40">
            <w:pPr>
              <w:pStyle w:val="a4"/>
              <w:spacing w:before="0" w:beforeAutospacing="0" w:after="225" w:afterAutospacing="0"/>
              <w:rPr>
                <w:rFonts w:ascii="Arial" w:hAnsi="Arial" w:cs="Arial"/>
                <w:color w:val="2C2D2E"/>
                <w:sz w:val="21"/>
                <w:szCs w:val="21"/>
              </w:rPr>
            </w:pPr>
            <w:r>
              <w:rPr>
                <w:rFonts w:ascii="Arial" w:hAnsi="Arial" w:cs="Arial"/>
                <w:color w:val="2C2D2E"/>
                <w:sz w:val="21"/>
                <w:szCs w:val="21"/>
              </w:rPr>
              <w:t xml:space="preserve">Досье на проект федерального закона № 1057226-8 “О внесении изменения в статью 341.2 Трудового кодекса Российской Федерации” (о полномочии </w:t>
            </w:r>
            <w:proofErr w:type="spellStart"/>
            <w:r>
              <w:rPr>
                <w:rFonts w:ascii="Arial" w:hAnsi="Arial" w:cs="Arial"/>
                <w:color w:val="2C2D2E"/>
                <w:sz w:val="21"/>
                <w:szCs w:val="21"/>
              </w:rPr>
              <w:t>Ростехнадзора</w:t>
            </w:r>
            <w:proofErr w:type="spellEnd"/>
            <w:r>
              <w:rPr>
                <w:rFonts w:ascii="Arial" w:hAnsi="Arial" w:cs="Arial"/>
                <w:color w:val="2C2D2E"/>
                <w:sz w:val="21"/>
                <w:szCs w:val="21"/>
              </w:rPr>
              <w:t xml:space="preserve"> по утверждению перечней работ) (внесен 30.10.2025 Правительством Российской Федерации)</w:t>
            </w:r>
          </w:p>
          <w:p w:rsidR="00EF7D40" w:rsidRDefault="00EF7D40">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10 февраля 2026 г. Госдума приняла закон, согласно которому </w:t>
            </w:r>
            <w:proofErr w:type="spellStart"/>
            <w:r>
              <w:rPr>
                <w:rFonts w:ascii="Arial" w:hAnsi="Arial" w:cs="Arial"/>
                <w:color w:val="000000"/>
                <w:sz w:val="21"/>
                <w:szCs w:val="21"/>
              </w:rPr>
              <w:t>Ростехнадзор</w:t>
            </w:r>
            <w:proofErr w:type="spellEnd"/>
            <w:r>
              <w:rPr>
                <w:rFonts w:ascii="Arial" w:hAnsi="Arial" w:cs="Arial"/>
                <w:color w:val="000000"/>
                <w:sz w:val="21"/>
                <w:szCs w:val="21"/>
              </w:rPr>
              <w:t xml:space="preserve"> установит перечни работ, для выполнения которых на производственных объектах I и II классов опасности частные агентства занятости не могут направлять сотрудников для работы по договору о предоставлении персонала.</w:t>
            </w:r>
          </w:p>
        </w:tc>
      </w:tr>
      <w:tr w:rsidR="00FD6F12" w:rsidTr="00FD6F12">
        <w:tc>
          <w:tcPr>
            <w:tcW w:w="0" w:type="auto"/>
            <w:tcBorders>
              <w:top w:val="single" w:sz="6" w:space="0" w:color="DDDEE0"/>
            </w:tcBorders>
            <w:shd w:val="clear" w:color="auto" w:fill="FFFFFF"/>
            <w:tcMar>
              <w:top w:w="330" w:type="dxa"/>
              <w:left w:w="375" w:type="dxa"/>
              <w:bottom w:w="0" w:type="dxa"/>
              <w:right w:w="180" w:type="dxa"/>
            </w:tcMar>
            <w:vAlign w:val="center"/>
            <w:hideMark/>
          </w:tcPr>
          <w:p w:rsidR="00FD6F12" w:rsidRDefault="00FD6F12">
            <w:pPr>
              <w:pStyle w:val="1"/>
              <w:spacing w:before="0" w:beforeAutospacing="0" w:after="0" w:afterAutospacing="0" w:line="480" w:lineRule="atLeast"/>
              <w:rPr>
                <w:rFonts w:ascii="Arial" w:hAnsi="Arial" w:cs="Arial"/>
                <w:color w:val="000000"/>
                <w:sz w:val="27"/>
                <w:szCs w:val="27"/>
              </w:rPr>
            </w:pPr>
            <w:bookmarkStart w:id="2" w:name="mailruanchor_a4"/>
            <w:r>
              <w:rPr>
                <w:rFonts w:ascii="Arial" w:hAnsi="Arial" w:cs="Arial"/>
                <w:color w:val="0070F0"/>
                <w:sz w:val="27"/>
                <w:szCs w:val="27"/>
                <w:u w:val="single"/>
              </w:rPr>
              <w:t>Изменится список противопоказаний для работы частным охранником</w:t>
            </w:r>
            <w:bookmarkEnd w:id="2"/>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FD6F12" w:rsidRDefault="001B0097">
            <w:pPr>
              <w:jc w:val="right"/>
              <w:rPr>
                <w:rFonts w:ascii="Arial" w:hAnsi="Arial" w:cs="Arial"/>
                <w:color w:val="2C2D2E"/>
                <w:sz w:val="23"/>
                <w:szCs w:val="23"/>
              </w:rPr>
            </w:pPr>
            <w:hyperlink r:id="rId8" w:anchor="mailruanchor_top" w:history="1">
              <w:r w:rsidR="00FD6F12">
                <w:rPr>
                  <w:rStyle w:val="a3"/>
                  <w:rFonts w:ascii="Arial" w:hAnsi="Arial" w:cs="Arial"/>
                  <w:color w:val="737881"/>
                  <w:sz w:val="18"/>
                  <w:szCs w:val="18"/>
                  <w:u w:val="none"/>
                  <w:shd w:val="clear" w:color="auto" w:fill="F4F4F5"/>
                </w:rPr>
                <w:t>Наверх</w:t>
              </w:r>
            </w:hyperlink>
          </w:p>
        </w:tc>
      </w:tr>
      <w:tr w:rsidR="00FD6F12" w:rsidTr="00FD6F12">
        <w:tc>
          <w:tcPr>
            <w:tcW w:w="0" w:type="auto"/>
            <w:gridSpan w:val="2"/>
            <w:shd w:val="clear" w:color="auto" w:fill="FFFFFF"/>
            <w:tcMar>
              <w:top w:w="225" w:type="dxa"/>
              <w:left w:w="375" w:type="dxa"/>
              <w:bottom w:w="0" w:type="dxa"/>
              <w:right w:w="180" w:type="dxa"/>
            </w:tcMar>
            <w:vAlign w:val="center"/>
            <w:hideMark/>
          </w:tcPr>
          <w:p w:rsidR="00FD6F12" w:rsidRDefault="001B0097">
            <w:pPr>
              <w:pStyle w:val="a4"/>
              <w:spacing w:before="0" w:beforeAutospacing="0" w:after="225" w:afterAutospacing="0"/>
              <w:rPr>
                <w:rFonts w:ascii="Arial" w:hAnsi="Arial" w:cs="Arial"/>
                <w:color w:val="2C2D2E"/>
                <w:sz w:val="21"/>
                <w:szCs w:val="21"/>
              </w:rPr>
            </w:pPr>
            <w:hyperlink r:id="rId9" w:history="1">
              <w:r w:rsidR="00FD6F12">
                <w:rPr>
                  <w:rStyle w:val="a3"/>
                  <w:rFonts w:ascii="Arial" w:hAnsi="Arial" w:cs="Arial"/>
                  <w:color w:val="004FD3"/>
                  <w:sz w:val="21"/>
                  <w:szCs w:val="21"/>
                  <w:u w:val="none"/>
                </w:rPr>
                <w:t>Проект Приказа Министерства здравоохранения Российской Федерации "Об утверждении перечня заболеваний, препятствующих исполнению обязанностей частного охранника" (подготовлен Минздравом России 06.02.2026)</w:t>
              </w:r>
            </w:hyperlink>
          </w:p>
          <w:p w:rsidR="00FD6F12" w:rsidRDefault="00FD6F12">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С 1 сентября 2026 г. начнет действовать Закон о частной охранной деятельности. В связи с этим Минздрав подготовил новый перечень заболеваний, препятствующих исполнению обязанностей частного охранника. К таким заболеваниям отнесены психические расстройства и расстройства поведения, в т. ч. связанные с употреблением </w:t>
            </w:r>
            <w:proofErr w:type="spellStart"/>
            <w:r>
              <w:rPr>
                <w:rFonts w:ascii="Arial" w:hAnsi="Arial" w:cs="Arial"/>
                <w:color w:val="000000"/>
                <w:sz w:val="21"/>
                <w:szCs w:val="21"/>
              </w:rPr>
              <w:t>психоактивных</w:t>
            </w:r>
            <w:proofErr w:type="spellEnd"/>
            <w:r>
              <w:rPr>
                <w:rFonts w:ascii="Arial" w:hAnsi="Arial" w:cs="Arial"/>
                <w:color w:val="000000"/>
                <w:sz w:val="21"/>
                <w:szCs w:val="21"/>
              </w:rPr>
              <w:t xml:space="preserve"> веществ; болезни глаза и его придаточного аппарата.</w:t>
            </w:r>
          </w:p>
        </w:tc>
      </w:tr>
      <w:tr w:rsidR="004057E7" w:rsidTr="004057E7">
        <w:tc>
          <w:tcPr>
            <w:tcW w:w="0" w:type="auto"/>
            <w:tcBorders>
              <w:top w:val="single" w:sz="6" w:space="0" w:color="DDDEE0"/>
            </w:tcBorders>
            <w:shd w:val="clear" w:color="auto" w:fill="FFFFFF"/>
            <w:tcMar>
              <w:top w:w="330" w:type="dxa"/>
              <w:left w:w="375" w:type="dxa"/>
              <w:bottom w:w="0" w:type="dxa"/>
              <w:right w:w="180" w:type="dxa"/>
            </w:tcMar>
            <w:vAlign w:val="center"/>
            <w:hideMark/>
          </w:tcPr>
          <w:p w:rsidR="004057E7" w:rsidRDefault="004057E7">
            <w:pPr>
              <w:pStyle w:val="1"/>
              <w:spacing w:before="0" w:beforeAutospacing="0" w:after="0" w:afterAutospacing="0" w:line="480" w:lineRule="atLeast"/>
              <w:rPr>
                <w:rFonts w:ascii="Arial" w:hAnsi="Arial" w:cs="Arial"/>
                <w:color w:val="000000"/>
                <w:sz w:val="27"/>
                <w:szCs w:val="27"/>
              </w:rPr>
            </w:pPr>
            <w:bookmarkStart w:id="3" w:name="mailruanchor_a1"/>
            <w:r>
              <w:rPr>
                <w:rFonts w:ascii="Arial" w:hAnsi="Arial" w:cs="Arial"/>
                <w:color w:val="0070F0"/>
                <w:sz w:val="27"/>
                <w:szCs w:val="27"/>
                <w:u w:val="single"/>
              </w:rPr>
              <w:lastRenderedPageBreak/>
              <w:t>На рабочих местах отдельных малых предприятий СОУТ будет проводиться по особым правилам: проект</w:t>
            </w:r>
            <w:bookmarkEnd w:id="3"/>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4057E7" w:rsidRDefault="001B0097">
            <w:pPr>
              <w:jc w:val="right"/>
              <w:rPr>
                <w:rFonts w:ascii="Arial" w:hAnsi="Arial" w:cs="Arial"/>
                <w:color w:val="2C2D2E"/>
                <w:sz w:val="23"/>
                <w:szCs w:val="23"/>
              </w:rPr>
            </w:pPr>
            <w:hyperlink r:id="rId10" w:anchor="mailruanchor_top" w:history="1">
              <w:r w:rsidR="004057E7">
                <w:rPr>
                  <w:rStyle w:val="a3"/>
                  <w:rFonts w:ascii="Arial" w:hAnsi="Arial" w:cs="Arial"/>
                  <w:color w:val="737881"/>
                  <w:sz w:val="18"/>
                  <w:szCs w:val="18"/>
                  <w:u w:val="none"/>
                  <w:shd w:val="clear" w:color="auto" w:fill="F4F4F5"/>
                </w:rPr>
                <w:t>Наверх</w:t>
              </w:r>
            </w:hyperlink>
          </w:p>
        </w:tc>
      </w:tr>
      <w:tr w:rsidR="004057E7" w:rsidTr="004057E7">
        <w:tc>
          <w:tcPr>
            <w:tcW w:w="0" w:type="auto"/>
            <w:gridSpan w:val="2"/>
            <w:shd w:val="clear" w:color="auto" w:fill="FFFFFF"/>
            <w:tcMar>
              <w:top w:w="225" w:type="dxa"/>
              <w:left w:w="375" w:type="dxa"/>
              <w:bottom w:w="0" w:type="dxa"/>
              <w:right w:w="180" w:type="dxa"/>
            </w:tcMar>
            <w:vAlign w:val="center"/>
            <w:hideMark/>
          </w:tcPr>
          <w:p w:rsidR="004057E7" w:rsidRDefault="001B0097">
            <w:pPr>
              <w:pStyle w:val="a4"/>
              <w:spacing w:before="0" w:beforeAutospacing="0" w:after="225" w:afterAutospacing="0"/>
              <w:rPr>
                <w:rFonts w:ascii="Arial" w:hAnsi="Arial" w:cs="Arial"/>
                <w:color w:val="2C2D2E"/>
                <w:sz w:val="21"/>
                <w:szCs w:val="21"/>
              </w:rPr>
            </w:pPr>
            <w:hyperlink r:id="rId11" w:history="1">
              <w:proofErr w:type="gramStart"/>
              <w:r w:rsidR="004057E7">
                <w:rPr>
                  <w:rStyle w:val="a3"/>
                  <w:rFonts w:ascii="Arial" w:hAnsi="Arial" w:cs="Arial"/>
                  <w:color w:val="004FD3"/>
                  <w:sz w:val="21"/>
                  <w:szCs w:val="21"/>
                  <w:u w:val="none"/>
                </w:rPr>
                <w:t xml:space="preserve">Проект Приказа Министерства труда и социальной защиты Российской Федерации "О внесении изменений в приказ Министерства труда и социальной защиты Российской Федерации от 31 октября 2022 г. № 699н "Об утверждении особенностей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w:t>
              </w:r>
              <w:proofErr w:type="spellStart"/>
              <w:r w:rsidR="004057E7">
                <w:rPr>
                  <w:rStyle w:val="a3"/>
                  <w:rFonts w:ascii="Arial" w:hAnsi="Arial" w:cs="Arial"/>
                  <w:color w:val="004FD3"/>
                  <w:sz w:val="21"/>
                  <w:szCs w:val="21"/>
                  <w:u w:val="none"/>
                </w:rPr>
                <w:t>микропредприятиям</w:t>
              </w:r>
              <w:proofErr w:type="spellEnd"/>
              <w:r w:rsidR="004057E7">
                <w:rPr>
                  <w:rStyle w:val="a3"/>
                  <w:rFonts w:ascii="Arial" w:hAnsi="Arial" w:cs="Arial"/>
                  <w:color w:val="004FD3"/>
                  <w:sz w:val="21"/>
                  <w:szCs w:val="21"/>
                  <w:u w:val="none"/>
                </w:rPr>
                <w:t>" (подготовлен</w:t>
              </w:r>
              <w:proofErr w:type="gramEnd"/>
              <w:r w:rsidR="004057E7">
                <w:rPr>
                  <w:rStyle w:val="a3"/>
                  <w:rFonts w:ascii="Arial" w:hAnsi="Arial" w:cs="Arial"/>
                  <w:color w:val="004FD3"/>
                  <w:sz w:val="21"/>
                  <w:szCs w:val="21"/>
                  <w:u w:val="none"/>
                </w:rPr>
                <w:t xml:space="preserve"> </w:t>
              </w:r>
              <w:proofErr w:type="gramStart"/>
              <w:r w:rsidR="004057E7">
                <w:rPr>
                  <w:rStyle w:val="a3"/>
                  <w:rFonts w:ascii="Arial" w:hAnsi="Arial" w:cs="Arial"/>
                  <w:color w:val="004FD3"/>
                  <w:sz w:val="21"/>
                  <w:szCs w:val="21"/>
                  <w:u w:val="none"/>
                </w:rPr>
                <w:t>Минтрудом России 09.02.2026)</w:t>
              </w:r>
            </w:hyperlink>
            <w:proofErr w:type="gramEnd"/>
          </w:p>
          <w:p w:rsidR="004057E7" w:rsidRDefault="004057E7">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Планируется уточнить особенности проведения СОУТ у субъектов малого предпринимательства.</w:t>
            </w:r>
            <w:r>
              <w:rPr>
                <w:rFonts w:ascii="Arial" w:hAnsi="Arial" w:cs="Arial"/>
                <w:color w:val="000000"/>
                <w:sz w:val="21"/>
                <w:szCs w:val="21"/>
              </w:rPr>
              <w:br/>
              <w:t xml:space="preserve">Они будут касаться не только </w:t>
            </w:r>
            <w:proofErr w:type="spellStart"/>
            <w:r>
              <w:rPr>
                <w:rFonts w:ascii="Arial" w:hAnsi="Arial" w:cs="Arial"/>
                <w:color w:val="000000"/>
                <w:sz w:val="21"/>
                <w:szCs w:val="21"/>
              </w:rPr>
              <w:t>микропредприятий</w:t>
            </w:r>
            <w:proofErr w:type="spellEnd"/>
            <w:r>
              <w:rPr>
                <w:rFonts w:ascii="Arial" w:hAnsi="Arial" w:cs="Arial"/>
                <w:color w:val="000000"/>
                <w:sz w:val="21"/>
                <w:szCs w:val="21"/>
              </w:rPr>
              <w:t>, но и малых предприятий. Также отразят расширение перечня видов экономической деятельности, на которые особенности распространяются.</w:t>
            </w:r>
          </w:p>
        </w:tc>
      </w:tr>
      <w:tr w:rsidR="004057E7" w:rsidTr="004057E7">
        <w:tc>
          <w:tcPr>
            <w:tcW w:w="0" w:type="auto"/>
            <w:tcBorders>
              <w:top w:val="single" w:sz="6" w:space="0" w:color="DDDEE0"/>
            </w:tcBorders>
            <w:shd w:val="clear" w:color="auto" w:fill="FFFFFF"/>
            <w:tcMar>
              <w:top w:w="330" w:type="dxa"/>
              <w:left w:w="375" w:type="dxa"/>
              <w:bottom w:w="0" w:type="dxa"/>
              <w:right w:w="180" w:type="dxa"/>
            </w:tcMar>
            <w:vAlign w:val="center"/>
            <w:hideMark/>
          </w:tcPr>
          <w:p w:rsidR="004057E7" w:rsidRDefault="004057E7">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t>КоАП уточнят в части нарушений трудового законодательства</w:t>
            </w:r>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4057E7" w:rsidRDefault="001B0097">
            <w:pPr>
              <w:jc w:val="right"/>
              <w:rPr>
                <w:rFonts w:ascii="Arial" w:hAnsi="Arial" w:cs="Arial"/>
                <w:color w:val="2C2D2E"/>
                <w:sz w:val="23"/>
                <w:szCs w:val="23"/>
              </w:rPr>
            </w:pPr>
            <w:hyperlink r:id="rId12" w:anchor="mailruanchor_top" w:history="1">
              <w:r w:rsidR="004057E7">
                <w:rPr>
                  <w:rStyle w:val="a3"/>
                  <w:rFonts w:ascii="Arial" w:hAnsi="Arial" w:cs="Arial"/>
                  <w:color w:val="737881"/>
                  <w:sz w:val="18"/>
                  <w:szCs w:val="18"/>
                  <w:u w:val="none"/>
                  <w:shd w:val="clear" w:color="auto" w:fill="F4F4F5"/>
                </w:rPr>
                <w:t>Наверх</w:t>
              </w:r>
            </w:hyperlink>
          </w:p>
        </w:tc>
      </w:tr>
      <w:tr w:rsidR="004057E7" w:rsidTr="004057E7">
        <w:tc>
          <w:tcPr>
            <w:tcW w:w="0" w:type="auto"/>
            <w:gridSpan w:val="2"/>
            <w:shd w:val="clear" w:color="auto" w:fill="FFFFFF"/>
            <w:tcMar>
              <w:top w:w="225" w:type="dxa"/>
              <w:left w:w="375" w:type="dxa"/>
              <w:bottom w:w="0" w:type="dxa"/>
              <w:right w:w="180" w:type="dxa"/>
            </w:tcMar>
            <w:vAlign w:val="center"/>
            <w:hideMark/>
          </w:tcPr>
          <w:p w:rsidR="004057E7" w:rsidRDefault="004057E7">
            <w:pPr>
              <w:pStyle w:val="a4"/>
              <w:spacing w:before="0" w:beforeAutospacing="0" w:after="225" w:afterAutospacing="0"/>
              <w:rPr>
                <w:rFonts w:ascii="Arial" w:hAnsi="Arial" w:cs="Arial"/>
                <w:color w:val="2C2D2E"/>
                <w:sz w:val="21"/>
                <w:szCs w:val="21"/>
              </w:rPr>
            </w:pPr>
            <w:r>
              <w:rPr>
                <w:rFonts w:ascii="Arial" w:hAnsi="Arial" w:cs="Arial"/>
                <w:color w:val="2C2D2E"/>
                <w:sz w:val="21"/>
                <w:szCs w:val="21"/>
              </w:rPr>
              <w:t>Досье на проект федерального закона № 914755-8 “О внесении изменений в Кодекс Российской Федерации об административных правонарушениях” (в части установления ответственности работодателей за недобросовестное выполнение возложенных обязанностей) (внесен 12.05.2025 депутатами ГД</w:t>
            </w:r>
            <w:proofErr w:type="gramStart"/>
            <w:r>
              <w:rPr>
                <w:rFonts w:ascii="Arial" w:hAnsi="Arial" w:cs="Arial"/>
                <w:color w:val="2C2D2E"/>
                <w:sz w:val="21"/>
                <w:szCs w:val="21"/>
              </w:rPr>
              <w:t xml:space="preserve"> :</w:t>
            </w:r>
            <w:proofErr w:type="gramEnd"/>
            <w:r>
              <w:rPr>
                <w:rFonts w:ascii="Arial" w:hAnsi="Arial" w:cs="Arial"/>
                <w:color w:val="2C2D2E"/>
                <w:sz w:val="21"/>
                <w:szCs w:val="21"/>
              </w:rPr>
              <w:t xml:space="preserve"> A.К. Исаевым, М.В. Тарасенко, С.В. </w:t>
            </w:r>
            <w:proofErr w:type="spellStart"/>
            <w:r>
              <w:rPr>
                <w:rFonts w:ascii="Arial" w:hAnsi="Arial" w:cs="Arial"/>
                <w:color w:val="2C2D2E"/>
                <w:sz w:val="21"/>
                <w:szCs w:val="21"/>
              </w:rPr>
              <w:t>Бессараб</w:t>
            </w:r>
            <w:proofErr w:type="spellEnd"/>
            <w:r>
              <w:rPr>
                <w:rFonts w:ascii="Arial" w:hAnsi="Arial" w:cs="Arial"/>
                <w:color w:val="2C2D2E"/>
                <w:sz w:val="21"/>
                <w:szCs w:val="21"/>
              </w:rPr>
              <w:t>, B.C. </w:t>
            </w:r>
            <w:proofErr w:type="gramStart"/>
            <w:r>
              <w:rPr>
                <w:rFonts w:ascii="Arial" w:hAnsi="Arial" w:cs="Arial"/>
                <w:color w:val="2C2D2E"/>
                <w:sz w:val="21"/>
                <w:szCs w:val="21"/>
              </w:rPr>
              <w:t>Родиной, М.Б. Терентьевым, М.Э. </w:t>
            </w:r>
            <w:proofErr w:type="spellStart"/>
            <w:r>
              <w:rPr>
                <w:rFonts w:ascii="Arial" w:hAnsi="Arial" w:cs="Arial"/>
                <w:color w:val="2C2D2E"/>
                <w:sz w:val="21"/>
                <w:szCs w:val="21"/>
              </w:rPr>
              <w:t>Оргеевой</w:t>
            </w:r>
            <w:proofErr w:type="spellEnd"/>
            <w:r>
              <w:rPr>
                <w:rFonts w:ascii="Arial" w:hAnsi="Arial" w:cs="Arial"/>
                <w:color w:val="2C2D2E"/>
                <w:sz w:val="21"/>
                <w:szCs w:val="21"/>
              </w:rPr>
              <w:t>, Т.И. </w:t>
            </w:r>
            <w:proofErr w:type="spellStart"/>
            <w:r>
              <w:rPr>
                <w:rFonts w:ascii="Arial" w:hAnsi="Arial" w:cs="Arial"/>
                <w:color w:val="2C2D2E"/>
                <w:sz w:val="21"/>
                <w:szCs w:val="21"/>
              </w:rPr>
              <w:t>Дьяконовой</w:t>
            </w:r>
            <w:proofErr w:type="spellEnd"/>
            <w:r>
              <w:rPr>
                <w:rFonts w:ascii="Arial" w:hAnsi="Arial" w:cs="Arial"/>
                <w:color w:val="2C2D2E"/>
                <w:sz w:val="21"/>
                <w:szCs w:val="21"/>
              </w:rPr>
              <w:t>, Е.П. </w:t>
            </w:r>
            <w:proofErr w:type="spellStart"/>
            <w:r>
              <w:rPr>
                <w:rFonts w:ascii="Arial" w:hAnsi="Arial" w:cs="Arial"/>
                <w:color w:val="2C2D2E"/>
                <w:sz w:val="21"/>
                <w:szCs w:val="21"/>
              </w:rPr>
              <w:t>Стенякиной</w:t>
            </w:r>
            <w:proofErr w:type="spellEnd"/>
            <w:r>
              <w:rPr>
                <w:rFonts w:ascii="Arial" w:hAnsi="Arial" w:cs="Arial"/>
                <w:color w:val="2C2D2E"/>
                <w:sz w:val="21"/>
                <w:szCs w:val="21"/>
              </w:rPr>
              <w:t>)</w:t>
            </w:r>
            <w:proofErr w:type="gramEnd"/>
          </w:p>
          <w:p w:rsidR="004057E7" w:rsidRDefault="004057E7">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17 февраля 2026 г. Дума приняла в первом чтении поправки к КоАП.</w:t>
            </w:r>
            <w:r>
              <w:rPr>
                <w:rFonts w:ascii="Arial" w:hAnsi="Arial" w:cs="Arial"/>
                <w:color w:val="000000"/>
                <w:sz w:val="21"/>
                <w:szCs w:val="21"/>
              </w:rPr>
              <w:br/>
              <w:t xml:space="preserve">Изменения касаются нарушений трудового законодательства. Введут ответственность за сокрытие, искажение или несвоевременное сообщение работодателем информации о несчастном случае в СФР и </w:t>
            </w:r>
            <w:proofErr w:type="spellStart"/>
            <w:r>
              <w:rPr>
                <w:rFonts w:ascii="Arial" w:hAnsi="Arial" w:cs="Arial"/>
                <w:color w:val="000000"/>
                <w:sz w:val="21"/>
                <w:szCs w:val="21"/>
              </w:rPr>
              <w:t>Роструд</w:t>
            </w:r>
            <w:proofErr w:type="spellEnd"/>
            <w:r>
              <w:rPr>
                <w:rFonts w:ascii="Arial" w:hAnsi="Arial" w:cs="Arial"/>
                <w:color w:val="000000"/>
                <w:sz w:val="21"/>
                <w:szCs w:val="21"/>
              </w:rPr>
              <w:t>. В частности, для организаций предусмотрены штрафы в 130-150 тыс. руб. Также увеличат штрафы за повторные нарушения.</w:t>
            </w:r>
          </w:p>
        </w:tc>
      </w:tr>
      <w:tr w:rsidR="00061459" w:rsidTr="00061459">
        <w:tc>
          <w:tcPr>
            <w:tcW w:w="0" w:type="auto"/>
            <w:tcBorders>
              <w:top w:val="single" w:sz="6" w:space="0" w:color="DDDEE0"/>
            </w:tcBorders>
            <w:shd w:val="clear" w:color="auto" w:fill="FFFFFF"/>
            <w:tcMar>
              <w:top w:w="330" w:type="dxa"/>
              <w:left w:w="375" w:type="dxa"/>
              <w:bottom w:w="0" w:type="dxa"/>
              <w:right w:w="180" w:type="dxa"/>
            </w:tcMar>
            <w:vAlign w:val="center"/>
            <w:hideMark/>
          </w:tcPr>
          <w:p w:rsidR="00061459" w:rsidRDefault="00061459">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t>Область применения административных штрафов за нарушения при ведении подземных горных работ предлагают расширить</w:t>
            </w:r>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061459" w:rsidRDefault="001B0097">
            <w:pPr>
              <w:jc w:val="right"/>
              <w:rPr>
                <w:rFonts w:ascii="Arial" w:hAnsi="Arial" w:cs="Arial"/>
                <w:color w:val="2C2D2E"/>
                <w:sz w:val="23"/>
                <w:szCs w:val="23"/>
              </w:rPr>
            </w:pPr>
            <w:hyperlink r:id="rId13" w:anchor="mailruanchor_top" w:history="1">
              <w:r w:rsidR="00061459">
                <w:rPr>
                  <w:rStyle w:val="a3"/>
                  <w:rFonts w:ascii="Arial" w:hAnsi="Arial" w:cs="Arial"/>
                  <w:color w:val="737881"/>
                  <w:sz w:val="18"/>
                  <w:szCs w:val="18"/>
                  <w:u w:val="none"/>
                  <w:shd w:val="clear" w:color="auto" w:fill="F4F4F5"/>
                </w:rPr>
                <w:t>Наверх</w:t>
              </w:r>
            </w:hyperlink>
          </w:p>
        </w:tc>
      </w:tr>
      <w:tr w:rsidR="00061459" w:rsidTr="00061459">
        <w:tc>
          <w:tcPr>
            <w:tcW w:w="0" w:type="auto"/>
            <w:gridSpan w:val="2"/>
            <w:shd w:val="clear" w:color="auto" w:fill="FFFFFF"/>
            <w:tcMar>
              <w:top w:w="225" w:type="dxa"/>
              <w:left w:w="375" w:type="dxa"/>
              <w:bottom w:w="0" w:type="dxa"/>
              <w:right w:w="180" w:type="dxa"/>
            </w:tcMar>
            <w:vAlign w:val="center"/>
            <w:hideMark/>
          </w:tcPr>
          <w:p w:rsidR="00061459" w:rsidRDefault="00061459">
            <w:pPr>
              <w:pStyle w:val="a4"/>
              <w:spacing w:before="0" w:beforeAutospacing="0" w:after="225" w:afterAutospacing="0"/>
              <w:rPr>
                <w:rFonts w:ascii="Arial" w:hAnsi="Arial" w:cs="Arial"/>
                <w:color w:val="2C2D2E"/>
                <w:sz w:val="21"/>
                <w:szCs w:val="21"/>
              </w:rPr>
            </w:pPr>
            <w:r>
              <w:rPr>
                <w:rFonts w:ascii="Arial" w:hAnsi="Arial" w:cs="Arial"/>
                <w:color w:val="2C2D2E"/>
                <w:sz w:val="21"/>
                <w:szCs w:val="21"/>
              </w:rPr>
              <w:t>Досье на проект федерального закона № 1148607-8 “О внесении изменений в статьи 3.5 и 9.1 Кодекса Российской Федерации об административных правонарушениях” (внесен 12.02.2026 Правительством Российской Федерации)</w:t>
            </w:r>
          </w:p>
          <w:p w:rsidR="00061459" w:rsidRDefault="00061459">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13 февраля 2026 г. в Госдуму на рассмотрение поступил проект поправок к КоАП РФ, которым предлагается расширить область применения административных штрафов за нарушение обязательных требований промышленной безопасности, повлекшее за собой смерть или причинение тяжкого вреда здоровью человека, при авариях на объектах ведения подземных горных работ. В частности, такие штрафы будут распространяться на правонарушителей, добывающих на указанных объектах любые полезные ископаемые, а не только уголь и </w:t>
            </w:r>
            <w:r>
              <w:rPr>
                <w:rFonts w:ascii="Arial" w:hAnsi="Arial" w:cs="Arial"/>
                <w:color w:val="000000"/>
                <w:sz w:val="21"/>
                <w:szCs w:val="21"/>
              </w:rPr>
              <w:lastRenderedPageBreak/>
              <w:t>горючие сланцы.</w:t>
            </w:r>
            <w:r>
              <w:rPr>
                <w:rFonts w:ascii="Arial" w:hAnsi="Arial" w:cs="Arial"/>
                <w:color w:val="000000"/>
                <w:sz w:val="21"/>
                <w:szCs w:val="21"/>
              </w:rPr>
              <w:br/>
              <w:t>Кроме того, к причинам возникновения аварий на объектах ведения подземных горных работ планируется добавить еще одну - прорыв воды в подземные горные выработки.</w:t>
            </w:r>
          </w:p>
        </w:tc>
      </w:tr>
      <w:tr w:rsidR="00061459" w:rsidTr="00061459">
        <w:tc>
          <w:tcPr>
            <w:tcW w:w="0" w:type="auto"/>
            <w:tcBorders>
              <w:top w:val="single" w:sz="6" w:space="0" w:color="DDDEE0"/>
            </w:tcBorders>
            <w:shd w:val="clear" w:color="auto" w:fill="FFFFFF"/>
            <w:tcMar>
              <w:top w:w="330" w:type="dxa"/>
              <w:left w:w="375" w:type="dxa"/>
              <w:bottom w:w="0" w:type="dxa"/>
              <w:right w:w="180" w:type="dxa"/>
            </w:tcMar>
            <w:vAlign w:val="center"/>
            <w:hideMark/>
          </w:tcPr>
          <w:p w:rsidR="00061459" w:rsidRDefault="00061459">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lastRenderedPageBreak/>
              <w:t>Минтруд продлил действие перечня профессий медиков и ученых, которые должны проходить тесты на ВИЧ</w:t>
            </w:r>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061459" w:rsidRDefault="001B0097">
            <w:pPr>
              <w:jc w:val="right"/>
              <w:rPr>
                <w:rFonts w:ascii="Arial" w:hAnsi="Arial" w:cs="Arial"/>
                <w:color w:val="2C2D2E"/>
                <w:sz w:val="23"/>
                <w:szCs w:val="23"/>
              </w:rPr>
            </w:pPr>
            <w:hyperlink r:id="rId14" w:anchor="mailruanchor_top" w:history="1">
              <w:r w:rsidR="00061459">
                <w:rPr>
                  <w:rStyle w:val="a3"/>
                  <w:rFonts w:ascii="Arial" w:hAnsi="Arial" w:cs="Arial"/>
                  <w:color w:val="737881"/>
                  <w:sz w:val="18"/>
                  <w:szCs w:val="18"/>
                  <w:u w:val="none"/>
                  <w:shd w:val="clear" w:color="auto" w:fill="F4F4F5"/>
                </w:rPr>
                <w:t>Наверх</w:t>
              </w:r>
            </w:hyperlink>
          </w:p>
        </w:tc>
      </w:tr>
      <w:tr w:rsidR="00061459" w:rsidTr="00061459">
        <w:tc>
          <w:tcPr>
            <w:tcW w:w="0" w:type="auto"/>
            <w:gridSpan w:val="2"/>
            <w:shd w:val="clear" w:color="auto" w:fill="FFFFFF"/>
            <w:tcMar>
              <w:top w:w="225" w:type="dxa"/>
              <w:left w:w="375" w:type="dxa"/>
              <w:bottom w:w="0" w:type="dxa"/>
              <w:right w:w="180" w:type="dxa"/>
            </w:tcMar>
            <w:vAlign w:val="center"/>
            <w:hideMark/>
          </w:tcPr>
          <w:p w:rsidR="00061459" w:rsidRDefault="001B0097">
            <w:pPr>
              <w:pStyle w:val="a4"/>
              <w:spacing w:before="0" w:beforeAutospacing="0" w:after="225" w:afterAutospacing="0"/>
              <w:rPr>
                <w:rFonts w:ascii="Arial" w:hAnsi="Arial" w:cs="Arial"/>
                <w:color w:val="2C2D2E"/>
                <w:sz w:val="21"/>
                <w:szCs w:val="21"/>
              </w:rPr>
            </w:pPr>
            <w:hyperlink r:id="rId15" w:history="1">
              <w:proofErr w:type="gramStart"/>
              <w:r w:rsidR="00061459">
                <w:rPr>
                  <w:rStyle w:val="a3"/>
                  <w:rFonts w:ascii="Arial" w:hAnsi="Arial" w:cs="Arial"/>
                  <w:color w:val="004FD3"/>
                  <w:sz w:val="21"/>
                  <w:szCs w:val="21"/>
                  <w:u w:val="none"/>
                </w:rPr>
                <w:t>Приказ Министерства труда и социальной защиты Российской Федерации от 15 января 2026 г. № 8н “О внесении изменения в пункт 2 приказа Министерства труда и социальной защиты Российской Федерации от 11 декабря 2020 г. № 885н "Об утверждении Перечня отдельных профессий, производств, предприятий, учреждений и организаций, работники которых проходят обязательное медицинское освидетельствование для выявления ВИЧ-инфекции при проведении обязательных предварительных при поступлении на</w:t>
              </w:r>
              <w:proofErr w:type="gramEnd"/>
              <w:r w:rsidR="00061459">
                <w:rPr>
                  <w:rStyle w:val="a3"/>
                  <w:rFonts w:ascii="Arial" w:hAnsi="Arial" w:cs="Arial"/>
                  <w:color w:val="004FD3"/>
                  <w:sz w:val="21"/>
                  <w:szCs w:val="21"/>
                  <w:u w:val="none"/>
                </w:rPr>
                <w:t xml:space="preserve"> работу и периодических медицинских осмотров" (документ не вступил в силу)</w:t>
              </w:r>
            </w:hyperlink>
          </w:p>
          <w:p w:rsidR="00061459" w:rsidRDefault="00061459">
            <w:pPr>
              <w:pStyle w:val="a4"/>
              <w:spacing w:before="225" w:beforeAutospacing="0" w:after="225" w:afterAutospacing="0"/>
              <w:rPr>
                <w:rFonts w:ascii="Arial" w:hAnsi="Arial" w:cs="Arial"/>
                <w:color w:val="AB0000"/>
                <w:sz w:val="21"/>
                <w:szCs w:val="21"/>
              </w:rPr>
            </w:pPr>
            <w:r>
              <w:rPr>
                <w:rFonts w:ascii="Arial" w:hAnsi="Arial" w:cs="Arial"/>
                <w:color w:val="AB0000"/>
                <w:sz w:val="21"/>
                <w:szCs w:val="21"/>
              </w:rPr>
              <w:t>Зарегистрировано 17 Февраля 2026 г. Регистрационный N 85354.</w:t>
            </w:r>
          </w:p>
          <w:p w:rsidR="00061459" w:rsidRDefault="00061459">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На период до 1 сентября 2032 г. продлено действие перечня профессий, производств, предприятий, учреждений и организаций, работники которых проходят </w:t>
            </w:r>
            <w:proofErr w:type="spellStart"/>
            <w:r>
              <w:rPr>
                <w:rFonts w:ascii="Arial" w:hAnsi="Arial" w:cs="Arial"/>
                <w:color w:val="000000"/>
                <w:sz w:val="21"/>
                <w:szCs w:val="21"/>
              </w:rPr>
              <w:t>медосвидетельствование</w:t>
            </w:r>
            <w:proofErr w:type="spellEnd"/>
            <w:r>
              <w:rPr>
                <w:rFonts w:ascii="Arial" w:hAnsi="Arial" w:cs="Arial"/>
                <w:color w:val="000000"/>
                <w:sz w:val="21"/>
                <w:szCs w:val="21"/>
              </w:rPr>
              <w:t xml:space="preserve"> для выявления ВИЧ-инфекции в рамках обязательных предварительных при поступлении на работу и периодических медосмотров.</w:t>
            </w:r>
            <w:r>
              <w:rPr>
                <w:rFonts w:ascii="Arial" w:hAnsi="Arial" w:cs="Arial"/>
                <w:color w:val="000000"/>
                <w:sz w:val="21"/>
                <w:szCs w:val="21"/>
              </w:rPr>
              <w:br/>
              <w:t>В перечень включены профессии медиков и научных работников.</w:t>
            </w:r>
            <w:r>
              <w:rPr>
                <w:rFonts w:ascii="Arial" w:hAnsi="Arial" w:cs="Arial"/>
                <w:color w:val="000000"/>
                <w:sz w:val="21"/>
                <w:szCs w:val="21"/>
              </w:rPr>
              <w:br/>
              <w:t>Приказ вступает в силу с 1 сентября 2026 г.</w:t>
            </w:r>
          </w:p>
        </w:tc>
      </w:tr>
      <w:tr w:rsidR="00061459" w:rsidTr="00061459">
        <w:tc>
          <w:tcPr>
            <w:tcW w:w="0" w:type="auto"/>
            <w:tcBorders>
              <w:top w:val="single" w:sz="6" w:space="0" w:color="DDDEE0"/>
            </w:tcBorders>
            <w:shd w:val="clear" w:color="auto" w:fill="FFFFFF"/>
            <w:tcMar>
              <w:top w:w="330" w:type="dxa"/>
              <w:left w:w="375" w:type="dxa"/>
              <w:bottom w:w="0" w:type="dxa"/>
              <w:right w:w="180" w:type="dxa"/>
            </w:tcMar>
            <w:vAlign w:val="center"/>
            <w:hideMark/>
          </w:tcPr>
          <w:p w:rsidR="00061459" w:rsidRDefault="00061459">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t>Надзор за соблюдением трудового законодательства: программа профилактики причинения вреда на 2026 г.</w:t>
            </w:r>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061459" w:rsidRDefault="001B0097">
            <w:pPr>
              <w:jc w:val="right"/>
              <w:rPr>
                <w:rFonts w:ascii="Arial" w:hAnsi="Arial" w:cs="Arial"/>
                <w:color w:val="2C2D2E"/>
                <w:sz w:val="23"/>
                <w:szCs w:val="23"/>
              </w:rPr>
            </w:pPr>
            <w:hyperlink r:id="rId16" w:anchor="mailruanchor_top" w:history="1">
              <w:r w:rsidR="00061459">
                <w:rPr>
                  <w:rStyle w:val="a3"/>
                  <w:rFonts w:ascii="Arial" w:hAnsi="Arial" w:cs="Arial"/>
                  <w:color w:val="737881"/>
                  <w:sz w:val="18"/>
                  <w:szCs w:val="18"/>
                  <w:u w:val="none"/>
                  <w:shd w:val="clear" w:color="auto" w:fill="F4F4F5"/>
                </w:rPr>
                <w:t>Наверх</w:t>
              </w:r>
            </w:hyperlink>
          </w:p>
        </w:tc>
      </w:tr>
      <w:tr w:rsidR="00061459" w:rsidTr="00061459">
        <w:tc>
          <w:tcPr>
            <w:tcW w:w="0" w:type="auto"/>
            <w:gridSpan w:val="2"/>
            <w:shd w:val="clear" w:color="auto" w:fill="FFFFFF"/>
            <w:tcMar>
              <w:top w:w="225" w:type="dxa"/>
              <w:left w:w="375" w:type="dxa"/>
              <w:bottom w:w="0" w:type="dxa"/>
              <w:right w:w="180" w:type="dxa"/>
            </w:tcMar>
            <w:vAlign w:val="center"/>
            <w:hideMark/>
          </w:tcPr>
          <w:p w:rsidR="00061459" w:rsidRDefault="001B0097">
            <w:pPr>
              <w:pStyle w:val="a4"/>
              <w:spacing w:before="0" w:beforeAutospacing="0" w:after="225" w:afterAutospacing="0"/>
              <w:rPr>
                <w:rFonts w:ascii="Arial" w:hAnsi="Arial" w:cs="Arial"/>
                <w:color w:val="2C2D2E"/>
                <w:sz w:val="21"/>
                <w:szCs w:val="21"/>
              </w:rPr>
            </w:pPr>
            <w:hyperlink r:id="rId17" w:history="1">
              <w:r w:rsidR="00061459">
                <w:rPr>
                  <w:rStyle w:val="a3"/>
                  <w:rFonts w:ascii="Arial" w:hAnsi="Arial" w:cs="Arial"/>
                  <w:color w:val="004FD3"/>
                  <w:sz w:val="21"/>
                  <w:szCs w:val="21"/>
                  <w:u w:val="none"/>
                </w:rPr>
                <w:t>Приказ Федеральной службы по труду и занятости от 19 декабря 2025 г. № 353 “Об утверждении Программы 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 2026 год”</w:t>
              </w:r>
            </w:hyperlink>
          </w:p>
          <w:p w:rsidR="00061459" w:rsidRDefault="00061459">
            <w:pPr>
              <w:pStyle w:val="a4"/>
              <w:spacing w:before="225" w:beforeAutospacing="0" w:after="360" w:afterAutospacing="0"/>
              <w:rPr>
                <w:rFonts w:ascii="Arial" w:hAnsi="Arial" w:cs="Arial"/>
                <w:color w:val="000000"/>
                <w:sz w:val="21"/>
                <w:szCs w:val="21"/>
              </w:rPr>
            </w:pPr>
            <w:proofErr w:type="spellStart"/>
            <w:r>
              <w:rPr>
                <w:rFonts w:ascii="Arial" w:hAnsi="Arial" w:cs="Arial"/>
                <w:color w:val="000000"/>
                <w:sz w:val="21"/>
                <w:szCs w:val="21"/>
              </w:rPr>
              <w:t>Роструд</w:t>
            </w:r>
            <w:proofErr w:type="spellEnd"/>
            <w:r>
              <w:rPr>
                <w:rFonts w:ascii="Arial" w:hAnsi="Arial" w:cs="Arial"/>
                <w:color w:val="000000"/>
                <w:sz w:val="21"/>
                <w:szCs w:val="21"/>
              </w:rPr>
              <w:t xml:space="preserve"> спланировал на 2026 г. мероприятия по профилактике рисков причинения вреда (ущерба) в рамках федерального </w:t>
            </w:r>
            <w:proofErr w:type="spellStart"/>
            <w:r>
              <w:rPr>
                <w:rFonts w:ascii="Arial" w:hAnsi="Arial" w:cs="Arial"/>
                <w:color w:val="000000"/>
                <w:sz w:val="21"/>
                <w:szCs w:val="21"/>
              </w:rPr>
              <w:t>госонтроля</w:t>
            </w:r>
            <w:proofErr w:type="spellEnd"/>
            <w:r>
              <w:rPr>
                <w:rFonts w:ascii="Arial" w:hAnsi="Arial" w:cs="Arial"/>
                <w:color w:val="000000"/>
                <w:sz w:val="21"/>
                <w:szCs w:val="21"/>
              </w:rPr>
              <w:t xml:space="preserve"> (надзора) за соблюдением трудового законодательства и иных нормативных правовых актов, содержащих нормы трудового права</w:t>
            </w:r>
          </w:p>
        </w:tc>
      </w:tr>
      <w:tr w:rsidR="003F1691" w:rsidTr="003F1691">
        <w:tc>
          <w:tcPr>
            <w:tcW w:w="0" w:type="auto"/>
            <w:tcBorders>
              <w:top w:val="single" w:sz="6" w:space="0" w:color="DDDEE0"/>
            </w:tcBorders>
            <w:shd w:val="clear" w:color="auto" w:fill="FFFFFF"/>
            <w:tcMar>
              <w:top w:w="330" w:type="dxa"/>
              <w:left w:w="375" w:type="dxa"/>
              <w:bottom w:w="0" w:type="dxa"/>
              <w:right w:w="180" w:type="dxa"/>
            </w:tcMar>
            <w:vAlign w:val="center"/>
            <w:hideMark/>
          </w:tcPr>
          <w:p w:rsidR="003F1691" w:rsidRDefault="003F1691">
            <w:pPr>
              <w:pStyle w:val="1"/>
              <w:spacing w:before="0" w:beforeAutospacing="0" w:after="0" w:afterAutospacing="0" w:line="480" w:lineRule="atLeast"/>
              <w:rPr>
                <w:rFonts w:ascii="Arial" w:hAnsi="Arial" w:cs="Arial"/>
                <w:color w:val="000000"/>
                <w:sz w:val="27"/>
                <w:szCs w:val="27"/>
              </w:rPr>
            </w:pPr>
            <w:bookmarkStart w:id="4" w:name="mailruanchor_a5"/>
            <w:r>
              <w:rPr>
                <w:rFonts w:ascii="Arial" w:hAnsi="Arial" w:cs="Arial"/>
                <w:color w:val="0070F0"/>
                <w:sz w:val="27"/>
                <w:szCs w:val="27"/>
                <w:u w:val="single"/>
              </w:rPr>
              <w:t>Правила утилизации средств индивидуальной защиты устанавливает работодатель</w:t>
            </w:r>
            <w:bookmarkEnd w:id="4"/>
          </w:p>
        </w:tc>
        <w:tc>
          <w:tcPr>
            <w:tcW w:w="0" w:type="auto"/>
            <w:tcBorders>
              <w:top w:val="single" w:sz="6" w:space="0" w:color="DDDEE0"/>
            </w:tcBorders>
            <w:shd w:val="clear" w:color="auto" w:fill="FFFFFF"/>
            <w:tcMar>
              <w:top w:w="330" w:type="dxa"/>
              <w:left w:w="0" w:type="dxa"/>
              <w:bottom w:w="0" w:type="dxa"/>
              <w:right w:w="180" w:type="dxa"/>
            </w:tcMar>
            <w:vAlign w:val="center"/>
            <w:hideMark/>
          </w:tcPr>
          <w:p w:rsidR="003F1691" w:rsidRDefault="001B0097">
            <w:pPr>
              <w:jc w:val="right"/>
              <w:rPr>
                <w:rFonts w:ascii="Arial" w:hAnsi="Arial" w:cs="Arial"/>
                <w:color w:val="2C2D2E"/>
                <w:sz w:val="23"/>
                <w:szCs w:val="23"/>
              </w:rPr>
            </w:pPr>
            <w:hyperlink r:id="rId18" w:anchor="mailruanchor_top" w:history="1">
              <w:r w:rsidR="003F1691">
                <w:rPr>
                  <w:rStyle w:val="a3"/>
                  <w:rFonts w:ascii="Arial" w:hAnsi="Arial" w:cs="Arial"/>
                  <w:color w:val="737881"/>
                  <w:sz w:val="18"/>
                  <w:szCs w:val="18"/>
                  <w:u w:val="none"/>
                  <w:shd w:val="clear" w:color="auto" w:fill="F4F4F5"/>
                </w:rPr>
                <w:t>Наверх</w:t>
              </w:r>
            </w:hyperlink>
          </w:p>
        </w:tc>
      </w:tr>
      <w:tr w:rsidR="003F1691" w:rsidTr="003F1691">
        <w:tc>
          <w:tcPr>
            <w:tcW w:w="0" w:type="auto"/>
            <w:gridSpan w:val="2"/>
            <w:shd w:val="clear" w:color="auto" w:fill="FFFFFF"/>
            <w:tcMar>
              <w:top w:w="225" w:type="dxa"/>
              <w:left w:w="375" w:type="dxa"/>
              <w:bottom w:w="0" w:type="dxa"/>
              <w:right w:w="180" w:type="dxa"/>
            </w:tcMar>
            <w:vAlign w:val="center"/>
            <w:hideMark/>
          </w:tcPr>
          <w:p w:rsidR="003F1691" w:rsidRDefault="001B0097">
            <w:pPr>
              <w:pStyle w:val="a4"/>
              <w:spacing w:before="0" w:beforeAutospacing="0" w:after="225" w:afterAutospacing="0"/>
              <w:rPr>
                <w:rFonts w:ascii="Arial" w:hAnsi="Arial" w:cs="Arial"/>
                <w:color w:val="2C2D2E"/>
                <w:sz w:val="21"/>
                <w:szCs w:val="21"/>
              </w:rPr>
            </w:pPr>
            <w:hyperlink r:id="rId19" w:history="1">
              <w:r w:rsidR="003F1691">
                <w:rPr>
                  <w:rStyle w:val="a3"/>
                  <w:rFonts w:ascii="Arial" w:hAnsi="Arial" w:cs="Arial"/>
                  <w:color w:val="004FD3"/>
                  <w:sz w:val="21"/>
                  <w:szCs w:val="21"/>
                  <w:u w:val="none"/>
                </w:rPr>
                <w:t>Письмо Министерства труда и социальной защиты Российской Федерации от 11 декабря 2025 г. № 15-2/В-4751 “Правила обеспечения работников средствами индивидуальной защиты”</w:t>
              </w:r>
            </w:hyperlink>
          </w:p>
          <w:p w:rsidR="003F1691" w:rsidRDefault="003F1691">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Нормы бесплатной выдачи работникам </w:t>
            </w:r>
            <w:proofErr w:type="gramStart"/>
            <w:r>
              <w:rPr>
                <w:rFonts w:ascii="Arial" w:hAnsi="Arial" w:cs="Arial"/>
                <w:color w:val="000000"/>
                <w:sz w:val="21"/>
                <w:szCs w:val="21"/>
              </w:rPr>
              <w:t>СИЗ</w:t>
            </w:r>
            <w:proofErr w:type="gramEnd"/>
            <w:r>
              <w:rPr>
                <w:rFonts w:ascii="Arial" w:hAnsi="Arial" w:cs="Arial"/>
                <w:color w:val="000000"/>
                <w:sz w:val="21"/>
                <w:szCs w:val="21"/>
              </w:rPr>
              <w:t xml:space="preserve"> и смывающих средств устанавливаются работодателем с учетом результатов СОУТ и оценки </w:t>
            </w:r>
            <w:proofErr w:type="spellStart"/>
            <w:r>
              <w:rPr>
                <w:rFonts w:ascii="Arial" w:hAnsi="Arial" w:cs="Arial"/>
                <w:color w:val="000000"/>
                <w:sz w:val="21"/>
                <w:szCs w:val="21"/>
              </w:rPr>
              <w:t>профрисков</w:t>
            </w:r>
            <w:proofErr w:type="spellEnd"/>
            <w:r>
              <w:rPr>
                <w:rFonts w:ascii="Arial" w:hAnsi="Arial" w:cs="Arial"/>
                <w:color w:val="000000"/>
                <w:sz w:val="21"/>
                <w:szCs w:val="21"/>
              </w:rPr>
              <w:t>, мнения выборного органа первичной профсоюзной организации. Работодатель за счет своих средств должен обеспечивать выдачу, хранение, стирку, химическую чистку, сушку, ремонт и замену СИЗ.</w:t>
            </w:r>
            <w:r>
              <w:rPr>
                <w:rFonts w:ascii="Arial" w:hAnsi="Arial" w:cs="Arial"/>
                <w:color w:val="000000"/>
                <w:sz w:val="21"/>
                <w:szCs w:val="21"/>
              </w:rPr>
              <w:br/>
            </w:r>
            <w:proofErr w:type="gramStart"/>
            <w:r>
              <w:rPr>
                <w:rFonts w:ascii="Arial" w:hAnsi="Arial" w:cs="Arial"/>
                <w:color w:val="000000"/>
                <w:sz w:val="21"/>
                <w:szCs w:val="21"/>
              </w:rPr>
              <w:lastRenderedPageBreak/>
              <w:t>Приобретать и использовать (в том числе по договору аренды или аутсорсинга) СИЗ, не имеющие документа о подтверждении соответствия, а также имеющие такие документы, срок действия которых истек, запрещено, за исключением производимых серийно СИЗ, выпущенных в обращение в период действия документа о подтверждении соответствия до истечения срока годности или эксплуатации.</w:t>
            </w:r>
            <w:proofErr w:type="gramEnd"/>
            <w:r>
              <w:rPr>
                <w:rFonts w:ascii="Arial" w:hAnsi="Arial" w:cs="Arial"/>
                <w:color w:val="000000"/>
                <w:sz w:val="21"/>
                <w:szCs w:val="21"/>
              </w:rPr>
              <w:br/>
            </w:r>
            <w:proofErr w:type="gramStart"/>
            <w:r>
              <w:rPr>
                <w:rFonts w:ascii="Arial" w:hAnsi="Arial" w:cs="Arial"/>
                <w:color w:val="000000"/>
                <w:sz w:val="21"/>
                <w:szCs w:val="21"/>
              </w:rPr>
              <w:t>После истечения сроков эксплуатации или годности работник должен вернуть СИЗ работодателю, за исключением СИЗ однократного применения и дерматологических СИЗ.</w:t>
            </w:r>
            <w:proofErr w:type="gramEnd"/>
            <w:r>
              <w:rPr>
                <w:rFonts w:ascii="Arial" w:hAnsi="Arial" w:cs="Arial"/>
                <w:color w:val="000000"/>
                <w:sz w:val="21"/>
                <w:szCs w:val="21"/>
              </w:rPr>
              <w:t xml:space="preserve"> Порядок утилизации (вывода из эксплуатации) </w:t>
            </w:r>
            <w:proofErr w:type="gramStart"/>
            <w:r>
              <w:rPr>
                <w:rFonts w:ascii="Arial" w:hAnsi="Arial" w:cs="Arial"/>
                <w:color w:val="000000"/>
                <w:sz w:val="21"/>
                <w:szCs w:val="21"/>
              </w:rPr>
              <w:t>СИЗ</w:t>
            </w:r>
            <w:proofErr w:type="gramEnd"/>
            <w:r>
              <w:rPr>
                <w:rFonts w:ascii="Arial" w:hAnsi="Arial" w:cs="Arial"/>
                <w:color w:val="000000"/>
                <w:sz w:val="21"/>
                <w:szCs w:val="21"/>
              </w:rPr>
              <w:t xml:space="preserve"> определяет работодатель.</w:t>
            </w:r>
          </w:p>
        </w:tc>
      </w:tr>
      <w:tr w:rsidR="00C8587D" w:rsidTr="00C8587D">
        <w:tc>
          <w:tcPr>
            <w:tcW w:w="0" w:type="auto"/>
            <w:gridSpan w:val="2"/>
            <w:shd w:val="clear" w:color="auto" w:fill="FFFFFF"/>
            <w:tcMar>
              <w:top w:w="225" w:type="dxa"/>
              <w:left w:w="375" w:type="dxa"/>
              <w:bottom w:w="0" w:type="dxa"/>
              <w:right w:w="180" w:type="dxa"/>
            </w:tcMar>
            <w:vAlign w:val="center"/>
            <w:hideMark/>
          </w:tcPr>
          <w:p w:rsidR="00C8587D" w:rsidRPr="00C8587D" w:rsidRDefault="00C8587D" w:rsidP="00C8587D">
            <w:pPr>
              <w:pStyle w:val="a4"/>
              <w:spacing w:after="225"/>
            </w:pPr>
            <w:bookmarkStart w:id="5" w:name="mailruanchor_top"/>
            <w:bookmarkEnd w:id="5"/>
            <w:r w:rsidRPr="00C8587D">
              <w:lastRenderedPageBreak/>
              <w:t>ПРАЙМ: Обзор правовой информации, подготовленный специально для Вас</w:t>
            </w:r>
          </w:p>
          <w:p w:rsidR="00C8587D" w:rsidRPr="00C8587D" w:rsidRDefault="00C8587D" w:rsidP="00C8587D">
            <w:pPr>
              <w:pStyle w:val="a4"/>
              <w:spacing w:before="0" w:beforeAutospacing="0" w:after="225" w:afterAutospacing="0"/>
            </w:pPr>
            <w:r w:rsidRPr="00C8587D">
              <w:t>2 Марта 2026. Сегодня в Вашей индивидуальной ленте “Гарант Лента” новостей: 6. Всего новостей в общей ленте ПРАЙМ: 475</w:t>
            </w:r>
          </w:p>
        </w:tc>
      </w:tr>
      <w:tr w:rsidR="00C8587D" w:rsidTr="00C8587D">
        <w:tc>
          <w:tcPr>
            <w:tcW w:w="0" w:type="auto"/>
            <w:gridSpan w:val="2"/>
            <w:shd w:val="clear" w:color="auto" w:fill="FFFFFF"/>
            <w:tcMar>
              <w:top w:w="225" w:type="dxa"/>
              <w:left w:w="375" w:type="dxa"/>
              <w:bottom w:w="0" w:type="dxa"/>
              <w:right w:w="180" w:type="dxa"/>
            </w:tcMar>
            <w:vAlign w:val="center"/>
            <w:hideMark/>
          </w:tcPr>
          <w:p w:rsidR="00C8587D" w:rsidRPr="00C8587D" w:rsidRDefault="00C8587D" w:rsidP="00C8587D">
            <w:pPr>
              <w:pStyle w:val="a4"/>
              <w:spacing w:after="225"/>
            </w:pPr>
            <w:r w:rsidRPr="00C8587D">
              <w:rPr>
                <w:noProof/>
              </w:rPr>
              <mc:AlternateContent>
                <mc:Choice Requires="wps">
                  <w:drawing>
                    <wp:inline distT="0" distB="0" distL="0" distR="0" wp14:anchorId="5626BA0F" wp14:editId="26BCC6B7">
                      <wp:extent cx="307340" cy="307340"/>
                      <wp:effectExtent l="0" t="0" r="0" b="0"/>
                      <wp:docPr id="2" name="Прямоугольник 2" descr="https://af12.mail.ru/cgi-bin/readmsg?id=17724555312076375477;0;5&amp;mode=attachment&amp;email=ak89021629688@mail.ru&amp;ct=image%2fpng&amp;cn=&amp;cte=bin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af12.mail.ru/cgi-bin/readmsg?id=17724555312076375477;0;5&amp;mode=attachment&amp;email=ak89021629688@mail.ru&amp;ct=image%2fpng&amp;cn=&amp;cte=binary"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" filled="f" stroked="f">
                      <o:lock v:ext="edit" aspectratio="t"/>
                      <w10:anchorlock/>
                    </v:rect>
                  </w:pict>
                </mc:Fallback>
              </mc:AlternateContent>
            </w:r>
            <w:r w:rsidRPr="00C8587D">
              <w:t>  Федеральное законодательство и проекты федеральных законов</w:t>
            </w:r>
          </w:p>
          <w:p w:rsidR="00C8587D" w:rsidRPr="00C8587D" w:rsidRDefault="001B0097" w:rsidP="00C8587D">
            <w:pPr>
              <w:pStyle w:val="a4"/>
              <w:spacing w:before="0" w:beforeAutospacing="0" w:after="225" w:afterAutospacing="0"/>
            </w:pPr>
            <w:hyperlink r:id="rId20" w:anchor="mailruanchor_a1" w:history="1">
              <w:r w:rsidR="00C8587D" w:rsidRPr="00C8587D">
                <w:rPr>
                  <w:rStyle w:val="a3"/>
                </w:rPr>
                <w:t>Принятие решений об изъятии для нужд РФ земельных участков в целях развития сети железных дорог: подготовлен регламент</w:t>
              </w:r>
            </w:hyperlink>
          </w:p>
          <w:p w:rsidR="00C8587D" w:rsidRPr="00C8587D" w:rsidRDefault="001B0097" w:rsidP="00C8587D">
            <w:pPr>
              <w:pStyle w:val="a4"/>
              <w:spacing w:before="0" w:beforeAutospacing="0" w:after="225" w:afterAutospacing="0"/>
            </w:pPr>
            <w:hyperlink r:id="rId21" w:anchor="mailruanchor_a2" w:history="1">
              <w:proofErr w:type="spellStart"/>
              <w:r w:rsidR="00C8587D" w:rsidRPr="00C8587D">
                <w:rPr>
                  <w:rStyle w:val="a3"/>
                </w:rPr>
                <w:t>Росреестр</w:t>
              </w:r>
              <w:proofErr w:type="spellEnd"/>
              <w:r w:rsidR="00C8587D" w:rsidRPr="00C8587D">
                <w:rPr>
                  <w:rStyle w:val="a3"/>
                </w:rPr>
                <w:t xml:space="preserve"> актуализирует свои приказы в части ведения ЕГРН</w:t>
              </w:r>
            </w:hyperlink>
          </w:p>
          <w:p w:rsidR="00C8587D" w:rsidRPr="00C8587D" w:rsidRDefault="001B0097" w:rsidP="00C8587D">
            <w:pPr>
              <w:pStyle w:val="a4"/>
              <w:spacing w:before="0" w:beforeAutospacing="0" w:after="225" w:afterAutospacing="0"/>
            </w:pPr>
            <w:hyperlink r:id="rId22" w:anchor="mailruanchor_a3" w:history="1">
              <w:r w:rsidR="00C8587D" w:rsidRPr="00C8587D">
                <w:rPr>
                  <w:rStyle w:val="a3"/>
                </w:rPr>
                <w:t xml:space="preserve">Порядок ведения реестра СРО кадастровых инженеров регламентирует </w:t>
              </w:r>
              <w:proofErr w:type="spellStart"/>
              <w:r w:rsidR="00C8587D" w:rsidRPr="00C8587D">
                <w:rPr>
                  <w:rStyle w:val="a3"/>
                </w:rPr>
                <w:t>Росреестр</w:t>
              </w:r>
              <w:proofErr w:type="spellEnd"/>
            </w:hyperlink>
          </w:p>
          <w:p w:rsidR="00C8587D" w:rsidRPr="00C8587D" w:rsidRDefault="001B0097" w:rsidP="00C8587D">
            <w:pPr>
              <w:pStyle w:val="a4"/>
              <w:spacing w:before="0" w:beforeAutospacing="0" w:after="225" w:afterAutospacing="0"/>
            </w:pPr>
            <w:hyperlink r:id="rId23" w:anchor="mailruanchor_a4" w:history="1">
              <w:r w:rsidR="00C8587D" w:rsidRPr="00C8587D">
                <w:rPr>
                  <w:rStyle w:val="a3"/>
                </w:rPr>
                <w:t xml:space="preserve">Документы для </w:t>
              </w:r>
              <w:proofErr w:type="spellStart"/>
              <w:r w:rsidR="00C8587D" w:rsidRPr="00C8587D">
                <w:rPr>
                  <w:rStyle w:val="a3"/>
                </w:rPr>
                <w:t>госрегистрации</w:t>
              </w:r>
              <w:proofErr w:type="spellEnd"/>
              <w:r w:rsidR="00C8587D" w:rsidRPr="00C8587D">
                <w:rPr>
                  <w:rStyle w:val="a3"/>
                </w:rPr>
                <w:t xml:space="preserve"> прав разрешено представлять в формате RTF</w:t>
              </w:r>
            </w:hyperlink>
          </w:p>
          <w:p w:rsidR="00C8587D" w:rsidRPr="00C8587D" w:rsidRDefault="001B0097" w:rsidP="00C8587D">
            <w:pPr>
              <w:pStyle w:val="a4"/>
              <w:spacing w:before="0" w:beforeAutospacing="0" w:after="225" w:afterAutospacing="0"/>
            </w:pPr>
            <w:hyperlink r:id="rId24" w:anchor="mailruanchor_a5" w:history="1">
              <w:r w:rsidR="00C8587D" w:rsidRPr="00C8587D">
                <w:rPr>
                  <w:rStyle w:val="a3"/>
                </w:rPr>
                <w:t>Для водителей автомобилей определят новый режим работы и отдыха</w:t>
              </w:r>
            </w:hyperlink>
          </w:p>
          <w:p w:rsidR="00C8587D" w:rsidRPr="00C8587D" w:rsidRDefault="001B0097" w:rsidP="00C8587D">
            <w:pPr>
              <w:pStyle w:val="a4"/>
              <w:spacing w:before="0" w:beforeAutospacing="0" w:after="225" w:afterAutospacing="0"/>
            </w:pPr>
            <w:hyperlink r:id="rId25" w:anchor="mailruanchor_a6" w:history="1">
              <w:r w:rsidR="00C8587D" w:rsidRPr="00C8587D">
                <w:rPr>
                  <w:rStyle w:val="a3"/>
                </w:rPr>
                <w:t>Изменятся особенности режима рабочего времени и времени отдыха водителей трамвая и троллейбуса</w:t>
              </w:r>
            </w:hyperlink>
          </w:p>
        </w:tc>
      </w:tr>
      <w:tr w:rsidR="00C8587D" w:rsidTr="00C8587D">
        <w:tc>
          <w:tcPr>
            <w:tcW w:w="0" w:type="auto"/>
            <w:gridSpan w:val="2"/>
            <w:shd w:val="clear" w:color="auto" w:fill="FFFFFF"/>
            <w:tcMar>
              <w:top w:w="225" w:type="dxa"/>
              <w:left w:w="375" w:type="dxa"/>
              <w:bottom w:w="0" w:type="dxa"/>
              <w:right w:w="180" w:type="dxa"/>
            </w:tcMar>
            <w:vAlign w:val="center"/>
            <w:hideMark/>
          </w:tcPr>
          <w:p w:rsidR="00C8587D" w:rsidRPr="00C8587D" w:rsidRDefault="00C8587D" w:rsidP="00C8587D">
            <w:pPr>
              <w:pStyle w:val="a4"/>
              <w:spacing w:after="225"/>
            </w:pPr>
            <w:r w:rsidRPr="00C8587D">
              <w:t>Официальные курсы ЦБ РФ</w:t>
            </w:r>
          </w:p>
          <w:p w:rsidR="00C8587D" w:rsidRPr="00C8587D" w:rsidRDefault="00C8587D" w:rsidP="00C8587D">
            <w:pPr>
              <w:pStyle w:val="a4"/>
              <w:spacing w:after="225"/>
            </w:pPr>
            <w:r w:rsidRPr="00C8587D">
              <w:rPr>
                <w:rStyle w:val="exchange-rates-datemrcssattr"/>
              </w:rPr>
              <w:t>На 02/03/2026:</w:t>
            </w:r>
            <w:r w:rsidRPr="00C8587D">
              <w:t> </w:t>
            </w:r>
            <w:r w:rsidRPr="00C8587D">
              <w:rPr>
                <w:rStyle w:val="a5"/>
                <w:b w:val="0"/>
                <w:bCs w:val="0"/>
              </w:rPr>
              <w:t>USD</w:t>
            </w:r>
            <w:r w:rsidRPr="00C8587D">
              <w:t> </w:t>
            </w:r>
            <w:r w:rsidRPr="00C8587D">
              <w:rPr>
                <w:rStyle w:val="exchange-rates-coursemrcssattr"/>
              </w:rPr>
              <w:t>77,2736</w:t>
            </w:r>
            <w:r w:rsidRPr="00C8587D">
              <w:t> </w:t>
            </w:r>
            <w:r w:rsidRPr="00C8587D">
              <w:rPr>
                <w:rStyle w:val="valutes-upmrcssattr"/>
              </w:rPr>
              <w:t>+0,1518</w:t>
            </w:r>
            <w:r w:rsidRPr="00C8587D">
              <w:t> </w:t>
            </w:r>
            <w:r w:rsidRPr="00C8587D">
              <w:rPr>
                <w:rStyle w:val="a5"/>
                <w:b w:val="0"/>
                <w:bCs w:val="0"/>
              </w:rPr>
              <w:t>EUR</w:t>
            </w:r>
            <w:r w:rsidRPr="00C8587D">
              <w:t> </w:t>
            </w:r>
            <w:r w:rsidRPr="00C8587D">
              <w:rPr>
                <w:rStyle w:val="exchange-rates-coursemrcssattr"/>
              </w:rPr>
              <w:t>91,2965</w:t>
            </w:r>
            <w:r w:rsidRPr="00C8587D">
              <w:t> </w:t>
            </w:r>
            <w:r w:rsidRPr="00C8587D">
              <w:rPr>
                <w:rStyle w:val="valutes-upmrcssattr"/>
              </w:rPr>
              <w:t>+0,2684</w:t>
            </w:r>
          </w:p>
        </w:tc>
      </w:tr>
      <w:tr w:rsidR="00C8587D" w:rsidTr="00C8587D">
        <w:tc>
          <w:tcPr>
            <w:tcW w:w="0" w:type="auto"/>
            <w:gridSpan w:val="2"/>
            <w:shd w:val="clear" w:color="auto" w:fill="FFFFFF"/>
            <w:tcMar>
              <w:top w:w="225" w:type="dxa"/>
              <w:left w:w="375" w:type="dxa"/>
              <w:bottom w:w="0" w:type="dxa"/>
              <w:right w:w="180" w:type="dxa"/>
            </w:tcMar>
            <w:vAlign w:val="center"/>
            <w:hideMark/>
          </w:tcPr>
          <w:tbl>
            <w:tblPr>
              <w:tblW w:w="5000" w:type="pct"/>
              <w:tblCellMar>
                <w:left w:w="0" w:type="dxa"/>
                <w:right w:w="0" w:type="dxa"/>
              </w:tblCellMar>
              <w:tblLook w:val="04A0" w:firstRow="1" w:lastRow="0" w:firstColumn="1" w:lastColumn="0" w:noHBand="0" w:noVBand="1"/>
            </w:tblPr>
            <w:tblGrid>
              <w:gridCol w:w="8448"/>
              <w:gridCol w:w="907"/>
            </w:tblGrid>
            <w:tr w:rsidR="00C8587D">
              <w:tc>
                <w:tcPr>
                  <w:tcW w:w="0" w:type="auto"/>
                  <w:gridSpan w:val="2"/>
                  <w:shd w:val="clear" w:color="auto" w:fill="6D9BE0"/>
                  <w:tcMar>
                    <w:top w:w="180" w:type="dxa"/>
                    <w:left w:w="180" w:type="dxa"/>
                    <w:bottom w:w="180" w:type="dxa"/>
                    <w:right w:w="180" w:type="dxa"/>
                  </w:tcMar>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514"/>
                    <w:gridCol w:w="8008"/>
                  </w:tblGrid>
                  <w:tr w:rsidR="00C8587D">
                    <w:trPr>
                      <w:jc w:val="center"/>
                    </w:trPr>
                    <w:tc>
                      <w:tcPr>
                        <w:tcW w:w="0" w:type="auto"/>
                        <w:vAlign w:val="center"/>
                        <w:hideMark/>
                      </w:tcPr>
                      <w:p w:rsidR="00C8587D" w:rsidRDefault="00C8587D">
                        <w:pPr>
                          <w:rPr>
                            <w:sz w:val="24"/>
                            <w:szCs w:val="24"/>
                          </w:rPr>
                        </w:pPr>
                        <w:r>
                          <w:rPr>
                            <w:noProof/>
                            <w:lang w:eastAsia="ru-RU"/>
                          </w:rPr>
                          <mc:AlternateContent>
                            <mc:Choice Requires="wps">
                              <w:drawing>
                                <wp:inline distT="0" distB="0" distL="0" distR="0" wp14:anchorId="33201839" wp14:editId="714E0FF5">
                                  <wp:extent cx="307340" cy="307340"/>
                                  <wp:effectExtent l="0" t="0" r="0" b="0"/>
                                  <wp:docPr id="1" name="Прямоугольник 1" descr="https://af12.mail.ru/cgi-bin/readmsg?id=17724555312076375477;0;4&amp;mode=attachment&amp;email=ak89021629688@mail.ru&amp;ct=image%2fpng&amp;cn=&amp;cte=bin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af12.mail.ru/cgi-bin/readmsg?id=17724555312076375477;0;4&amp;mode=attachment&amp;email=ak89021629688@mail.ru&amp;ct=image%2fpng&amp;cn=&amp;cte=binary"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" filled="f" stroked="f">
                                  <o:lock v:ext="edit" aspectratio="t"/>
                                  <w10:anchorlock/>
                                </v:rect>
                              </w:pict>
                            </mc:Fallback>
                          </mc:AlternateContent>
                        </w:r>
                      </w:p>
                    </w:tc>
                    <w:tc>
                      <w:tcPr>
                        <w:tcW w:w="0" w:type="auto"/>
                        <w:vAlign w:val="center"/>
                        <w:hideMark/>
                      </w:tcPr>
                      <w:p w:rsidR="00C8587D" w:rsidRDefault="00C8587D">
                        <w:pPr>
                          <w:rPr>
                            <w:sz w:val="24"/>
                            <w:szCs w:val="24"/>
                          </w:rPr>
                        </w:pPr>
                        <w:r>
                          <w:rPr>
                            <w:rStyle w:val="span-icon1mrcssattr"/>
                            <w:rFonts w:ascii="Arial" w:hAnsi="Arial" w:cs="Arial"/>
                            <w:color w:val="FFFFFF"/>
                            <w:sz w:val="26"/>
                            <w:szCs w:val="26"/>
                          </w:rPr>
                          <w:t>Федеральное законодательство и проекты федеральных законов</w:t>
                        </w:r>
                      </w:p>
                    </w:tc>
                  </w:tr>
                </w:tbl>
                <w:p w:rsidR="00C8587D" w:rsidRDefault="00C8587D">
                  <w:pPr>
                    <w:jc w:val="center"/>
                    <w:rPr>
                      <w:sz w:val="24"/>
                      <w:szCs w:val="24"/>
                    </w:rPr>
                  </w:pPr>
                </w:p>
              </w:tc>
            </w:tr>
            <w:tr w:rsidR="00C8587D">
              <w:tc>
                <w:tcPr>
                  <w:tcW w:w="0" w:type="auto"/>
                  <w:tcBorders>
                    <w:top w:val="single" w:sz="6" w:space="0" w:color="DDDEE0"/>
                  </w:tcBorders>
                  <w:tcMar>
                    <w:top w:w="330" w:type="dxa"/>
                    <w:left w:w="375" w:type="dxa"/>
                    <w:bottom w:w="0" w:type="dxa"/>
                    <w:right w:w="180" w:type="dxa"/>
                  </w:tcMar>
                  <w:vAlign w:val="center"/>
                  <w:hideMark/>
                </w:tcPr>
                <w:p w:rsidR="00C8587D" w:rsidRDefault="00C8587D">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t>Принятие решений об изъятии для нужд РФ земельных участков в целях развития сети железных дорог: подготовлен регламент</w:t>
                  </w:r>
                </w:p>
              </w:tc>
              <w:tc>
                <w:tcPr>
                  <w:tcW w:w="0" w:type="auto"/>
                  <w:tcBorders>
                    <w:top w:val="single" w:sz="6" w:space="0" w:color="DDDEE0"/>
                  </w:tcBorders>
                  <w:tcMar>
                    <w:top w:w="330" w:type="dxa"/>
                    <w:left w:w="0" w:type="dxa"/>
                    <w:bottom w:w="0" w:type="dxa"/>
                    <w:right w:w="180" w:type="dxa"/>
                  </w:tcMar>
                  <w:vAlign w:val="center"/>
                  <w:hideMark/>
                </w:tcPr>
                <w:p w:rsidR="00C8587D" w:rsidRDefault="001B0097">
                  <w:pPr>
                    <w:jc w:val="right"/>
                    <w:rPr>
                      <w:sz w:val="24"/>
                      <w:szCs w:val="24"/>
                    </w:rPr>
                  </w:pPr>
                  <w:hyperlink r:id="rId26" w:anchor="mailruanchor_top" w:history="1">
                    <w:r w:rsidR="00C8587D" w:rsidRPr="00C8587D">
                      <w:rPr>
                        <w:rStyle w:val="a3"/>
                        <w:rFonts w:ascii="Arial" w:hAnsi="Arial" w:cs="Arial"/>
                        <w:sz w:val="18"/>
                        <w:szCs w:val="18"/>
                        <w:shd w:val="clear" w:color="auto" w:fill="F4F4F5"/>
                      </w:rPr>
                      <w:t>Наверх</w:t>
                    </w:r>
                  </w:hyperlink>
                </w:p>
              </w:tc>
            </w:tr>
            <w:tr w:rsidR="00C8587D">
              <w:tc>
                <w:tcPr>
                  <w:tcW w:w="0" w:type="auto"/>
                  <w:gridSpan w:val="2"/>
                  <w:tcMar>
                    <w:top w:w="225" w:type="dxa"/>
                    <w:left w:w="375" w:type="dxa"/>
                    <w:bottom w:w="0" w:type="dxa"/>
                    <w:right w:w="180" w:type="dxa"/>
                  </w:tcMar>
                  <w:vAlign w:val="center"/>
                  <w:hideMark/>
                </w:tcPr>
                <w:p w:rsidR="00C8587D" w:rsidRDefault="001B0097">
                  <w:pPr>
                    <w:pStyle w:val="a4"/>
                    <w:spacing w:before="0" w:beforeAutospacing="0" w:after="225" w:afterAutospacing="0"/>
                    <w:rPr>
                      <w:rFonts w:ascii="Arial" w:hAnsi="Arial" w:cs="Arial"/>
                      <w:sz w:val="21"/>
                      <w:szCs w:val="21"/>
                    </w:rPr>
                  </w:pPr>
                  <w:hyperlink r:id="rId27" w:history="1">
                    <w:proofErr w:type="gramStart"/>
                    <w:r w:rsidR="00C8587D" w:rsidRPr="00C8587D">
                      <w:rPr>
                        <w:rStyle w:val="a3"/>
                        <w:rFonts w:ascii="Arial" w:hAnsi="Arial" w:cs="Arial"/>
                        <w:sz w:val="21"/>
                        <w:szCs w:val="21"/>
                      </w:rPr>
                      <w:t xml:space="preserve">Проект Приказа Федерального агентства железнодорожного транспорта "Об утверждении Административного регламента Федерального агентства железнодорожного транспорта по предоставлению государственной услуги "Принятие решений об изъятии для нужд Российской Федерации земельных участков по ходатайству организации в целях развития сети железных дорог в порядке, установленном законодательством Российской Федерации, а также обеспечение </w:t>
                    </w:r>
                    <w:r w:rsidR="00C8587D" w:rsidRPr="00C8587D">
                      <w:rPr>
                        <w:rStyle w:val="a3"/>
                        <w:rFonts w:ascii="Arial" w:hAnsi="Arial" w:cs="Arial"/>
                        <w:sz w:val="21"/>
                        <w:szCs w:val="21"/>
                      </w:rPr>
                      <w:lastRenderedPageBreak/>
                      <w:t>необходимых действий, связанных с изъятием указанных земельных участков, в порядке, установленном законодательством Российской Федерации</w:t>
                    </w:r>
                    <w:proofErr w:type="gramEnd"/>
                    <w:r w:rsidR="00C8587D" w:rsidRPr="00C8587D">
                      <w:rPr>
                        <w:rStyle w:val="a3"/>
                        <w:rFonts w:ascii="Arial" w:hAnsi="Arial" w:cs="Arial"/>
                        <w:sz w:val="21"/>
                        <w:szCs w:val="21"/>
                      </w:rPr>
                      <w:t xml:space="preserve">" (подготовлен </w:t>
                    </w:r>
                    <w:proofErr w:type="spellStart"/>
                    <w:r w:rsidR="00C8587D" w:rsidRPr="00C8587D">
                      <w:rPr>
                        <w:rStyle w:val="a3"/>
                        <w:rFonts w:ascii="Arial" w:hAnsi="Arial" w:cs="Arial"/>
                        <w:sz w:val="21"/>
                        <w:szCs w:val="21"/>
                      </w:rPr>
                      <w:t>Росжелдором</w:t>
                    </w:r>
                    <w:proofErr w:type="spellEnd"/>
                    <w:r w:rsidR="00C8587D" w:rsidRPr="00C8587D">
                      <w:rPr>
                        <w:rStyle w:val="a3"/>
                        <w:rFonts w:ascii="Arial" w:hAnsi="Arial" w:cs="Arial"/>
                        <w:sz w:val="21"/>
                        <w:szCs w:val="21"/>
                      </w:rPr>
                      <w:t xml:space="preserve"> 13.02.2026)</w:t>
                    </w:r>
                  </w:hyperlink>
                </w:p>
                <w:p w:rsidR="00C8587D" w:rsidRDefault="00C8587D">
                  <w:pPr>
                    <w:pStyle w:val="a4"/>
                    <w:spacing w:before="225" w:beforeAutospacing="0" w:after="360" w:afterAutospacing="0"/>
                    <w:rPr>
                      <w:rFonts w:ascii="Arial" w:hAnsi="Arial" w:cs="Arial"/>
                      <w:color w:val="000000"/>
                      <w:sz w:val="21"/>
                      <w:szCs w:val="21"/>
                    </w:rPr>
                  </w:pPr>
                  <w:proofErr w:type="spellStart"/>
                  <w:r>
                    <w:rPr>
                      <w:rFonts w:ascii="Arial" w:hAnsi="Arial" w:cs="Arial"/>
                      <w:color w:val="000000"/>
                      <w:sz w:val="21"/>
                      <w:szCs w:val="21"/>
                    </w:rPr>
                    <w:t>Росжелдор</w:t>
                  </w:r>
                  <w:proofErr w:type="spellEnd"/>
                  <w:r>
                    <w:rPr>
                      <w:rFonts w:ascii="Arial" w:hAnsi="Arial" w:cs="Arial"/>
                      <w:color w:val="000000"/>
                      <w:sz w:val="21"/>
                      <w:szCs w:val="21"/>
                    </w:rPr>
                    <w:t xml:space="preserve"> подготовил регламент </w:t>
                  </w:r>
                  <w:proofErr w:type="gramStart"/>
                  <w:r>
                    <w:rPr>
                      <w:rFonts w:ascii="Arial" w:hAnsi="Arial" w:cs="Arial"/>
                      <w:color w:val="000000"/>
                      <w:sz w:val="21"/>
                      <w:szCs w:val="21"/>
                    </w:rPr>
                    <w:t>по принятию решений об изъятии для нужд РФ земельных участков по ходатайству организации в целях</w:t>
                  </w:r>
                  <w:proofErr w:type="gramEnd"/>
                  <w:r>
                    <w:rPr>
                      <w:rFonts w:ascii="Arial" w:hAnsi="Arial" w:cs="Arial"/>
                      <w:color w:val="000000"/>
                      <w:sz w:val="21"/>
                      <w:szCs w:val="21"/>
                    </w:rPr>
                    <w:t xml:space="preserve"> развития сети железных дорог и обеспечению необходимых действий, связанных с изъятием указанных участков.</w:t>
                  </w:r>
                  <w:r>
                    <w:rPr>
                      <w:rFonts w:ascii="Arial" w:hAnsi="Arial" w:cs="Arial"/>
                      <w:color w:val="000000"/>
                      <w:sz w:val="21"/>
                      <w:szCs w:val="21"/>
                    </w:rPr>
                    <w:br/>
                    <w:t xml:space="preserve">Услуга будет предоставляться ведомством бесплатно в соответствии с категориями (признаками) заявителя, сведения о которых размещаются в федеральном реестре государственных и муниципальных услуг (функций) и на Едином портале. Максимальный срок ее оказания - 64 рабочих дня </w:t>
                  </w:r>
                  <w:proofErr w:type="gramStart"/>
                  <w:r>
                    <w:rPr>
                      <w:rFonts w:ascii="Arial" w:hAnsi="Arial" w:cs="Arial"/>
                      <w:color w:val="000000"/>
                      <w:sz w:val="21"/>
                      <w:szCs w:val="21"/>
                    </w:rPr>
                    <w:t>с даты регистрации</w:t>
                  </w:r>
                  <w:proofErr w:type="gramEnd"/>
                  <w:r>
                    <w:rPr>
                      <w:rFonts w:ascii="Arial" w:hAnsi="Arial" w:cs="Arial"/>
                      <w:color w:val="000000"/>
                      <w:sz w:val="21"/>
                      <w:szCs w:val="21"/>
                    </w:rPr>
                    <w:t xml:space="preserve"> заявления и необходимых документов. Распоряжение об изъятии участков можно будет получить по почте или в органе власти.</w:t>
                  </w:r>
                </w:p>
              </w:tc>
            </w:tr>
            <w:tr w:rsidR="00C8587D">
              <w:tc>
                <w:tcPr>
                  <w:tcW w:w="0" w:type="auto"/>
                  <w:tcBorders>
                    <w:top w:val="single" w:sz="6" w:space="0" w:color="DDDEE0"/>
                  </w:tcBorders>
                  <w:tcMar>
                    <w:top w:w="330" w:type="dxa"/>
                    <w:left w:w="375" w:type="dxa"/>
                    <w:bottom w:w="0" w:type="dxa"/>
                    <w:right w:w="180" w:type="dxa"/>
                  </w:tcMar>
                  <w:vAlign w:val="center"/>
                  <w:hideMark/>
                </w:tcPr>
                <w:p w:rsidR="00C8587D" w:rsidRDefault="00C8587D">
                  <w:pPr>
                    <w:pStyle w:val="1"/>
                    <w:spacing w:before="0" w:beforeAutospacing="0" w:after="0" w:afterAutospacing="0" w:line="480" w:lineRule="atLeast"/>
                    <w:rPr>
                      <w:rFonts w:ascii="Arial" w:hAnsi="Arial" w:cs="Arial"/>
                      <w:color w:val="000000"/>
                      <w:sz w:val="27"/>
                      <w:szCs w:val="27"/>
                    </w:rPr>
                  </w:pPr>
                  <w:bookmarkStart w:id="6" w:name="mailruanchor_a2"/>
                  <w:proofErr w:type="spellStart"/>
                  <w:r>
                    <w:rPr>
                      <w:rFonts w:ascii="Arial" w:hAnsi="Arial" w:cs="Arial"/>
                      <w:color w:val="0070F0"/>
                      <w:sz w:val="27"/>
                      <w:szCs w:val="27"/>
                      <w:u w:val="single"/>
                    </w:rPr>
                    <w:lastRenderedPageBreak/>
                    <w:t>Росреестр</w:t>
                  </w:r>
                  <w:proofErr w:type="spellEnd"/>
                  <w:r>
                    <w:rPr>
                      <w:rFonts w:ascii="Arial" w:hAnsi="Arial" w:cs="Arial"/>
                      <w:color w:val="0070F0"/>
                      <w:sz w:val="27"/>
                      <w:szCs w:val="27"/>
                      <w:u w:val="single"/>
                    </w:rPr>
                    <w:t xml:space="preserve"> актуализирует свои приказы в части ведения ЕГРН</w:t>
                  </w:r>
                  <w:bookmarkEnd w:id="6"/>
                </w:p>
              </w:tc>
              <w:tc>
                <w:tcPr>
                  <w:tcW w:w="0" w:type="auto"/>
                  <w:tcBorders>
                    <w:top w:val="single" w:sz="6" w:space="0" w:color="DDDEE0"/>
                  </w:tcBorders>
                  <w:tcMar>
                    <w:top w:w="330" w:type="dxa"/>
                    <w:left w:w="0" w:type="dxa"/>
                    <w:bottom w:w="0" w:type="dxa"/>
                    <w:right w:w="180" w:type="dxa"/>
                  </w:tcMar>
                  <w:vAlign w:val="center"/>
                  <w:hideMark/>
                </w:tcPr>
                <w:p w:rsidR="00C8587D" w:rsidRDefault="001B0097">
                  <w:pPr>
                    <w:jc w:val="right"/>
                    <w:rPr>
                      <w:sz w:val="24"/>
                      <w:szCs w:val="24"/>
                    </w:rPr>
                  </w:pPr>
                  <w:hyperlink r:id="rId28" w:anchor="mailruanchor_top" w:history="1">
                    <w:r w:rsidR="00C8587D" w:rsidRPr="00C8587D">
                      <w:rPr>
                        <w:rStyle w:val="a3"/>
                        <w:rFonts w:ascii="Arial" w:hAnsi="Arial" w:cs="Arial"/>
                        <w:sz w:val="18"/>
                        <w:szCs w:val="18"/>
                        <w:shd w:val="clear" w:color="auto" w:fill="F4F4F5"/>
                      </w:rPr>
                      <w:t>Наверх</w:t>
                    </w:r>
                  </w:hyperlink>
                </w:p>
              </w:tc>
            </w:tr>
            <w:tr w:rsidR="00C8587D">
              <w:tc>
                <w:tcPr>
                  <w:tcW w:w="0" w:type="auto"/>
                  <w:gridSpan w:val="2"/>
                  <w:tcMar>
                    <w:top w:w="225" w:type="dxa"/>
                    <w:left w:w="375" w:type="dxa"/>
                    <w:bottom w:w="0" w:type="dxa"/>
                    <w:right w:w="180" w:type="dxa"/>
                  </w:tcMar>
                  <w:vAlign w:val="center"/>
                  <w:hideMark/>
                </w:tcPr>
                <w:p w:rsidR="00C8587D" w:rsidRDefault="001B0097">
                  <w:pPr>
                    <w:pStyle w:val="a4"/>
                    <w:spacing w:before="0" w:beforeAutospacing="0" w:after="225" w:afterAutospacing="0"/>
                    <w:rPr>
                      <w:rFonts w:ascii="Arial" w:hAnsi="Arial" w:cs="Arial"/>
                      <w:sz w:val="21"/>
                      <w:szCs w:val="21"/>
                    </w:rPr>
                  </w:pPr>
                  <w:hyperlink r:id="rId29" w:history="1">
                    <w:r w:rsidR="00C8587D" w:rsidRPr="00C8587D">
                      <w:rPr>
                        <w:rStyle w:val="a3"/>
                        <w:rFonts w:ascii="Arial" w:hAnsi="Arial" w:cs="Arial"/>
                        <w:sz w:val="21"/>
                        <w:szCs w:val="21"/>
                      </w:rPr>
                      <w:t xml:space="preserve">Проект Приказа Федеральной службы государственной регистрации, кадастра и картографии "О внесении изменений в приказы Федеральной службы государственной регистрации, кадастра и картографии от 19 августа 2020 г. № </w:t>
                    </w:r>
                    <w:proofErr w:type="gramStart"/>
                    <w:r w:rsidR="00C8587D" w:rsidRPr="00C8587D">
                      <w:rPr>
                        <w:rStyle w:val="a3"/>
                        <w:rFonts w:ascii="Arial" w:hAnsi="Arial" w:cs="Arial"/>
                        <w:sz w:val="21"/>
                        <w:szCs w:val="21"/>
                      </w:rPr>
                      <w:t>П</w:t>
                    </w:r>
                    <w:proofErr w:type="gramEnd"/>
                    <w:r w:rsidR="00C8587D" w:rsidRPr="00C8587D">
                      <w:rPr>
                        <w:rStyle w:val="a3"/>
                        <w:rFonts w:ascii="Arial" w:hAnsi="Arial" w:cs="Arial"/>
                        <w:sz w:val="21"/>
                        <w:szCs w:val="21"/>
                      </w:rPr>
                      <w:t xml:space="preserve">/0310, от 4 сентября 2020 г. № П/0329, от 8 апреля 2021 г. № П/0149" (подготовлен </w:t>
                    </w:r>
                    <w:proofErr w:type="spellStart"/>
                    <w:r w:rsidR="00C8587D" w:rsidRPr="00C8587D">
                      <w:rPr>
                        <w:rStyle w:val="a3"/>
                        <w:rFonts w:ascii="Arial" w:hAnsi="Arial" w:cs="Arial"/>
                        <w:sz w:val="21"/>
                        <w:szCs w:val="21"/>
                      </w:rPr>
                      <w:t>Росреестром</w:t>
                    </w:r>
                    <w:proofErr w:type="spellEnd"/>
                    <w:r w:rsidR="00C8587D" w:rsidRPr="00C8587D">
                      <w:rPr>
                        <w:rStyle w:val="a3"/>
                        <w:rFonts w:ascii="Arial" w:hAnsi="Arial" w:cs="Arial"/>
                        <w:sz w:val="21"/>
                        <w:szCs w:val="21"/>
                      </w:rPr>
                      <w:t xml:space="preserve"> 12.02.2026)</w:t>
                    </w:r>
                  </w:hyperlink>
                </w:p>
                <w:p w:rsidR="00C8587D" w:rsidRDefault="00C8587D">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Ранее были приняты поправки в Закон о </w:t>
                  </w:r>
                  <w:proofErr w:type="spellStart"/>
                  <w:r>
                    <w:rPr>
                      <w:rFonts w:ascii="Arial" w:hAnsi="Arial" w:cs="Arial"/>
                      <w:color w:val="000000"/>
                      <w:sz w:val="21"/>
                      <w:szCs w:val="21"/>
                    </w:rPr>
                    <w:t>госрегистрации</w:t>
                  </w:r>
                  <w:proofErr w:type="spellEnd"/>
                  <w:r>
                    <w:rPr>
                      <w:rFonts w:ascii="Arial" w:hAnsi="Arial" w:cs="Arial"/>
                      <w:color w:val="000000"/>
                      <w:sz w:val="21"/>
                      <w:szCs w:val="21"/>
                    </w:rPr>
                    <w:t xml:space="preserve"> недвижимости, предусматривающие возможность внесения в ЕГРН сведений о границах с/х угодий в составе земель с/х назначения. </w:t>
                  </w:r>
                  <w:proofErr w:type="spellStart"/>
                  <w:r>
                    <w:rPr>
                      <w:rFonts w:ascii="Arial" w:hAnsi="Arial" w:cs="Arial"/>
                      <w:color w:val="000000"/>
                      <w:sz w:val="21"/>
                      <w:szCs w:val="21"/>
                    </w:rPr>
                    <w:t>Росреестр</w:t>
                  </w:r>
                  <w:proofErr w:type="spellEnd"/>
                  <w:r>
                    <w:rPr>
                      <w:rFonts w:ascii="Arial" w:hAnsi="Arial" w:cs="Arial"/>
                      <w:color w:val="000000"/>
                      <w:sz w:val="21"/>
                      <w:szCs w:val="21"/>
                    </w:rPr>
                    <w:t xml:space="preserve"> подготовил корреспондирующие изменения в свои приказы.</w:t>
                  </w:r>
                </w:p>
              </w:tc>
            </w:tr>
            <w:tr w:rsidR="00C8587D">
              <w:tc>
                <w:tcPr>
                  <w:tcW w:w="0" w:type="auto"/>
                  <w:tcBorders>
                    <w:top w:val="single" w:sz="6" w:space="0" w:color="DDDEE0"/>
                  </w:tcBorders>
                  <w:tcMar>
                    <w:top w:w="330" w:type="dxa"/>
                    <w:left w:w="375" w:type="dxa"/>
                    <w:bottom w:w="0" w:type="dxa"/>
                    <w:right w:w="180" w:type="dxa"/>
                  </w:tcMar>
                  <w:vAlign w:val="center"/>
                  <w:hideMark/>
                </w:tcPr>
                <w:p w:rsidR="00C8587D" w:rsidRDefault="00C8587D">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t xml:space="preserve">Порядок ведения реестра СРО кадастровых инженеров регламентирует </w:t>
                  </w:r>
                  <w:proofErr w:type="spellStart"/>
                  <w:r>
                    <w:rPr>
                      <w:rFonts w:ascii="Arial" w:hAnsi="Arial" w:cs="Arial"/>
                      <w:color w:val="0070F0"/>
                      <w:sz w:val="27"/>
                      <w:szCs w:val="27"/>
                      <w:u w:val="single"/>
                    </w:rPr>
                    <w:t>Росреестр</w:t>
                  </w:r>
                  <w:proofErr w:type="spellEnd"/>
                </w:p>
              </w:tc>
              <w:tc>
                <w:tcPr>
                  <w:tcW w:w="0" w:type="auto"/>
                  <w:tcBorders>
                    <w:top w:val="single" w:sz="6" w:space="0" w:color="DDDEE0"/>
                  </w:tcBorders>
                  <w:tcMar>
                    <w:top w:w="330" w:type="dxa"/>
                    <w:left w:w="0" w:type="dxa"/>
                    <w:bottom w:w="0" w:type="dxa"/>
                    <w:right w:w="180" w:type="dxa"/>
                  </w:tcMar>
                  <w:vAlign w:val="center"/>
                  <w:hideMark/>
                </w:tcPr>
                <w:p w:rsidR="00C8587D" w:rsidRDefault="001B0097">
                  <w:pPr>
                    <w:jc w:val="right"/>
                    <w:rPr>
                      <w:sz w:val="24"/>
                      <w:szCs w:val="24"/>
                    </w:rPr>
                  </w:pPr>
                  <w:hyperlink r:id="rId30" w:anchor="mailruanchor_top" w:history="1">
                    <w:r w:rsidR="00C8587D" w:rsidRPr="00C8587D">
                      <w:rPr>
                        <w:rStyle w:val="a3"/>
                        <w:rFonts w:ascii="Arial" w:hAnsi="Arial" w:cs="Arial"/>
                        <w:sz w:val="18"/>
                        <w:szCs w:val="18"/>
                        <w:shd w:val="clear" w:color="auto" w:fill="F4F4F5"/>
                      </w:rPr>
                      <w:t>Наверх</w:t>
                    </w:r>
                  </w:hyperlink>
                </w:p>
              </w:tc>
            </w:tr>
            <w:tr w:rsidR="00C8587D">
              <w:tc>
                <w:tcPr>
                  <w:tcW w:w="0" w:type="auto"/>
                  <w:gridSpan w:val="2"/>
                  <w:tcMar>
                    <w:top w:w="225" w:type="dxa"/>
                    <w:left w:w="375" w:type="dxa"/>
                    <w:bottom w:w="0" w:type="dxa"/>
                    <w:right w:w="180" w:type="dxa"/>
                  </w:tcMar>
                  <w:vAlign w:val="center"/>
                  <w:hideMark/>
                </w:tcPr>
                <w:p w:rsidR="00C8587D" w:rsidRDefault="001B0097">
                  <w:pPr>
                    <w:pStyle w:val="a4"/>
                    <w:spacing w:before="0" w:beforeAutospacing="0" w:after="225" w:afterAutospacing="0"/>
                    <w:rPr>
                      <w:rFonts w:ascii="Arial" w:hAnsi="Arial" w:cs="Arial"/>
                      <w:sz w:val="21"/>
                      <w:szCs w:val="21"/>
                    </w:rPr>
                  </w:pPr>
                  <w:hyperlink r:id="rId31" w:history="1">
                    <w:r w:rsidR="00C8587D" w:rsidRPr="00C8587D">
                      <w:rPr>
                        <w:rStyle w:val="a3"/>
                        <w:rFonts w:ascii="Arial" w:hAnsi="Arial" w:cs="Arial"/>
                        <w:sz w:val="21"/>
                        <w:szCs w:val="21"/>
                      </w:rPr>
                      <w:t xml:space="preserve">Проект Приказа Федеральной службы государственной регистрации, кадастра и картографии "Об утверждении Административного регламента Федеральной службы государственной регистрации, кадастра и картографии по предоставлению государственной услуги "Ведение государственного реестра саморегулируемых организаций кадастровых инженеров" (подготовлен </w:t>
                    </w:r>
                    <w:proofErr w:type="spellStart"/>
                    <w:r w:rsidR="00C8587D" w:rsidRPr="00C8587D">
                      <w:rPr>
                        <w:rStyle w:val="a3"/>
                        <w:rFonts w:ascii="Arial" w:hAnsi="Arial" w:cs="Arial"/>
                        <w:sz w:val="21"/>
                        <w:szCs w:val="21"/>
                      </w:rPr>
                      <w:t>Росреестром</w:t>
                    </w:r>
                    <w:proofErr w:type="spellEnd"/>
                    <w:r w:rsidR="00C8587D" w:rsidRPr="00C8587D">
                      <w:rPr>
                        <w:rStyle w:val="a3"/>
                        <w:rFonts w:ascii="Arial" w:hAnsi="Arial" w:cs="Arial"/>
                        <w:sz w:val="21"/>
                        <w:szCs w:val="21"/>
                      </w:rPr>
                      <w:t xml:space="preserve"> 19.02.2026)</w:t>
                    </w:r>
                  </w:hyperlink>
                </w:p>
                <w:p w:rsidR="00C8587D" w:rsidRDefault="00C8587D">
                  <w:pPr>
                    <w:pStyle w:val="a4"/>
                    <w:spacing w:before="225" w:beforeAutospacing="0" w:after="360" w:afterAutospacing="0"/>
                    <w:rPr>
                      <w:rFonts w:ascii="Arial" w:hAnsi="Arial" w:cs="Arial"/>
                      <w:color w:val="000000"/>
                      <w:sz w:val="21"/>
                      <w:szCs w:val="21"/>
                    </w:rPr>
                  </w:pPr>
                  <w:proofErr w:type="spellStart"/>
                  <w:r>
                    <w:rPr>
                      <w:rFonts w:ascii="Arial" w:hAnsi="Arial" w:cs="Arial"/>
                      <w:color w:val="000000"/>
                      <w:sz w:val="21"/>
                      <w:szCs w:val="21"/>
                    </w:rPr>
                    <w:t>Росреестр</w:t>
                  </w:r>
                  <w:proofErr w:type="spellEnd"/>
                  <w:r>
                    <w:rPr>
                      <w:rFonts w:ascii="Arial" w:hAnsi="Arial" w:cs="Arial"/>
                      <w:color w:val="000000"/>
                      <w:sz w:val="21"/>
                      <w:szCs w:val="21"/>
                    </w:rPr>
                    <w:t xml:space="preserve"> подготовил новый регламент по ведению государственного реестра СРО кадастровых инженеров. Он заменит регламент 2017 г., утвержденный Минэкономразвития.</w:t>
                  </w:r>
                  <w:r>
                    <w:rPr>
                      <w:rFonts w:ascii="Arial" w:hAnsi="Arial" w:cs="Arial"/>
                      <w:color w:val="000000"/>
                      <w:sz w:val="21"/>
                      <w:szCs w:val="21"/>
                    </w:rPr>
                    <w:br/>
                    <w:t xml:space="preserve">Услуга будет предоставляться в соответствии с категориями (признаками) заявителя, сведения о которых размещаются в федеральном реестре государственных и муниципальных услуг и на Едином портале. Максимальный срок ее оказания варьируется от 3 до 9 рабочих дней </w:t>
                  </w:r>
                  <w:proofErr w:type="gramStart"/>
                  <w:r>
                    <w:rPr>
                      <w:rFonts w:ascii="Arial" w:hAnsi="Arial" w:cs="Arial"/>
                      <w:color w:val="000000"/>
                      <w:sz w:val="21"/>
                      <w:szCs w:val="21"/>
                    </w:rPr>
                    <w:t>с даты регистрации</w:t>
                  </w:r>
                  <w:proofErr w:type="gramEnd"/>
                  <w:r>
                    <w:rPr>
                      <w:rFonts w:ascii="Arial" w:hAnsi="Arial" w:cs="Arial"/>
                      <w:color w:val="000000"/>
                      <w:sz w:val="21"/>
                      <w:szCs w:val="21"/>
                    </w:rPr>
                    <w:t xml:space="preserve"> заявления и необходимых документов в зависимости от категории (признаков) заявителя. Результаты можно будет получить посредством Единого портала, электронной почты или личного кабинета на сайте органа власти.</w:t>
                  </w:r>
                </w:p>
              </w:tc>
            </w:tr>
            <w:tr w:rsidR="00C8587D">
              <w:tc>
                <w:tcPr>
                  <w:tcW w:w="0" w:type="auto"/>
                  <w:tcBorders>
                    <w:top w:val="single" w:sz="6" w:space="0" w:color="DDDEE0"/>
                  </w:tcBorders>
                  <w:tcMar>
                    <w:top w:w="330" w:type="dxa"/>
                    <w:left w:w="375" w:type="dxa"/>
                    <w:bottom w:w="0" w:type="dxa"/>
                    <w:right w:w="180" w:type="dxa"/>
                  </w:tcMar>
                  <w:vAlign w:val="center"/>
                  <w:hideMark/>
                </w:tcPr>
                <w:p w:rsidR="00C8587D" w:rsidRDefault="00C8587D">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t xml:space="preserve">Документы для </w:t>
                  </w:r>
                  <w:proofErr w:type="spellStart"/>
                  <w:r>
                    <w:rPr>
                      <w:rFonts w:ascii="Arial" w:hAnsi="Arial" w:cs="Arial"/>
                      <w:color w:val="0070F0"/>
                      <w:sz w:val="27"/>
                      <w:szCs w:val="27"/>
                      <w:u w:val="single"/>
                    </w:rPr>
                    <w:t>госрегистрации</w:t>
                  </w:r>
                  <w:proofErr w:type="spellEnd"/>
                  <w:r>
                    <w:rPr>
                      <w:rFonts w:ascii="Arial" w:hAnsi="Arial" w:cs="Arial"/>
                      <w:color w:val="0070F0"/>
                      <w:sz w:val="27"/>
                      <w:szCs w:val="27"/>
                      <w:u w:val="single"/>
                    </w:rPr>
                    <w:t xml:space="preserve"> прав разрешено </w:t>
                  </w:r>
                  <w:r>
                    <w:rPr>
                      <w:rFonts w:ascii="Arial" w:hAnsi="Arial" w:cs="Arial"/>
                      <w:color w:val="0070F0"/>
                      <w:sz w:val="27"/>
                      <w:szCs w:val="27"/>
                      <w:u w:val="single"/>
                    </w:rPr>
                    <w:lastRenderedPageBreak/>
                    <w:t>представлять в формате RTF</w:t>
                  </w:r>
                </w:p>
              </w:tc>
              <w:tc>
                <w:tcPr>
                  <w:tcW w:w="0" w:type="auto"/>
                  <w:tcBorders>
                    <w:top w:val="single" w:sz="6" w:space="0" w:color="DDDEE0"/>
                  </w:tcBorders>
                  <w:tcMar>
                    <w:top w:w="330" w:type="dxa"/>
                    <w:left w:w="0" w:type="dxa"/>
                    <w:bottom w:w="0" w:type="dxa"/>
                    <w:right w:w="180" w:type="dxa"/>
                  </w:tcMar>
                  <w:vAlign w:val="center"/>
                  <w:hideMark/>
                </w:tcPr>
                <w:p w:rsidR="00C8587D" w:rsidRDefault="001B0097">
                  <w:pPr>
                    <w:jc w:val="right"/>
                    <w:rPr>
                      <w:sz w:val="24"/>
                      <w:szCs w:val="24"/>
                    </w:rPr>
                  </w:pPr>
                  <w:hyperlink r:id="rId32" w:anchor="mailruanchor_top" w:history="1">
                    <w:r w:rsidR="00C8587D" w:rsidRPr="00C8587D">
                      <w:rPr>
                        <w:rStyle w:val="a3"/>
                        <w:rFonts w:ascii="Arial" w:hAnsi="Arial" w:cs="Arial"/>
                        <w:sz w:val="18"/>
                        <w:szCs w:val="18"/>
                        <w:shd w:val="clear" w:color="auto" w:fill="F4F4F5"/>
                      </w:rPr>
                      <w:t>Наверх</w:t>
                    </w:r>
                  </w:hyperlink>
                </w:p>
              </w:tc>
            </w:tr>
            <w:tr w:rsidR="00C8587D">
              <w:tc>
                <w:tcPr>
                  <w:tcW w:w="0" w:type="auto"/>
                  <w:gridSpan w:val="2"/>
                  <w:tcMar>
                    <w:top w:w="225" w:type="dxa"/>
                    <w:left w:w="375" w:type="dxa"/>
                    <w:bottom w:w="0" w:type="dxa"/>
                    <w:right w:w="180" w:type="dxa"/>
                  </w:tcMar>
                  <w:vAlign w:val="center"/>
                  <w:hideMark/>
                </w:tcPr>
                <w:p w:rsidR="00C8587D" w:rsidRDefault="001B0097">
                  <w:pPr>
                    <w:pStyle w:val="a4"/>
                    <w:spacing w:before="0" w:beforeAutospacing="0" w:after="225" w:afterAutospacing="0"/>
                    <w:rPr>
                      <w:rFonts w:ascii="Arial" w:hAnsi="Arial" w:cs="Arial"/>
                      <w:sz w:val="21"/>
                      <w:szCs w:val="21"/>
                    </w:rPr>
                  </w:pPr>
                  <w:hyperlink r:id="rId33" w:history="1">
                    <w:r w:rsidR="00C8587D" w:rsidRPr="00C8587D">
                      <w:rPr>
                        <w:rStyle w:val="a3"/>
                        <w:rFonts w:ascii="Arial" w:hAnsi="Arial" w:cs="Arial"/>
                        <w:sz w:val="21"/>
                        <w:szCs w:val="21"/>
                      </w:rPr>
                      <w:t>Приказ Федеральной службы государственной регистрации, кадастра и картографии от 21 января 2026 г. № </w:t>
                    </w:r>
                    <w:proofErr w:type="gramStart"/>
                    <w:r w:rsidR="00C8587D" w:rsidRPr="00C8587D">
                      <w:rPr>
                        <w:rStyle w:val="a3"/>
                        <w:rFonts w:ascii="Arial" w:hAnsi="Arial" w:cs="Arial"/>
                        <w:sz w:val="21"/>
                        <w:szCs w:val="21"/>
                      </w:rPr>
                      <w:t>П</w:t>
                    </w:r>
                    <w:proofErr w:type="gramEnd"/>
                    <w:r w:rsidR="00C8587D" w:rsidRPr="00C8587D">
                      <w:rPr>
                        <w:rStyle w:val="a3"/>
                        <w:rFonts w:ascii="Arial" w:hAnsi="Arial" w:cs="Arial"/>
                        <w:sz w:val="21"/>
                        <w:szCs w:val="21"/>
                      </w:rPr>
                      <w:t>/0007/26 “О внесении изменения в приложение № 5 к приказу Федеральной службы государственной регистрации, кадастра и картографии от 19 августа 2020 г. № П/0310” (документ не вступил в силу)</w:t>
                    </w:r>
                  </w:hyperlink>
                </w:p>
                <w:p w:rsidR="00C8587D" w:rsidRDefault="00C8587D">
                  <w:pPr>
                    <w:pStyle w:val="a4"/>
                    <w:spacing w:before="225" w:beforeAutospacing="0" w:after="225" w:afterAutospacing="0"/>
                    <w:rPr>
                      <w:rFonts w:ascii="Arial" w:hAnsi="Arial" w:cs="Arial"/>
                      <w:color w:val="AB0000"/>
                      <w:sz w:val="21"/>
                      <w:szCs w:val="21"/>
                    </w:rPr>
                  </w:pPr>
                  <w:r>
                    <w:rPr>
                      <w:rFonts w:ascii="Arial" w:hAnsi="Arial" w:cs="Arial"/>
                      <w:color w:val="AB0000"/>
                      <w:sz w:val="21"/>
                      <w:szCs w:val="21"/>
                    </w:rPr>
                    <w:t>Зарегистрировано 25 Февраля 2026 г. Регистрационный N 85464.</w:t>
                  </w:r>
                </w:p>
                <w:p w:rsidR="00C8587D" w:rsidRDefault="00C8587D">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Необходимые для государственного кадастрового учета и </w:t>
                  </w:r>
                  <w:proofErr w:type="spellStart"/>
                  <w:r>
                    <w:rPr>
                      <w:rFonts w:ascii="Arial" w:hAnsi="Arial" w:cs="Arial"/>
                      <w:color w:val="000000"/>
                      <w:sz w:val="21"/>
                      <w:szCs w:val="21"/>
                    </w:rPr>
                    <w:t>госрегистрации</w:t>
                  </w:r>
                  <w:proofErr w:type="spellEnd"/>
                  <w:r>
                    <w:rPr>
                      <w:rFonts w:ascii="Arial" w:hAnsi="Arial" w:cs="Arial"/>
                      <w:color w:val="000000"/>
                      <w:sz w:val="21"/>
                      <w:szCs w:val="21"/>
                    </w:rPr>
                    <w:t xml:space="preserve"> прав электронные документы можно представлять в т. ч. в виде файлов в формате RTF. Также предусмотрена возможность использовать формат PDF наряду с PDF/A.</w:t>
                  </w:r>
                </w:p>
              </w:tc>
            </w:tr>
            <w:tr w:rsidR="00C8587D">
              <w:tc>
                <w:tcPr>
                  <w:tcW w:w="0" w:type="auto"/>
                  <w:tcBorders>
                    <w:top w:val="single" w:sz="6" w:space="0" w:color="DDDEE0"/>
                  </w:tcBorders>
                  <w:tcMar>
                    <w:top w:w="330" w:type="dxa"/>
                    <w:left w:w="375" w:type="dxa"/>
                    <w:bottom w:w="0" w:type="dxa"/>
                    <w:right w:w="180" w:type="dxa"/>
                  </w:tcMar>
                  <w:vAlign w:val="center"/>
                  <w:hideMark/>
                </w:tcPr>
                <w:p w:rsidR="00C8587D" w:rsidRDefault="00C8587D">
                  <w:pPr>
                    <w:pStyle w:val="1"/>
                    <w:spacing w:before="0" w:beforeAutospacing="0" w:after="0" w:afterAutospacing="0" w:line="480" w:lineRule="atLeast"/>
                    <w:rPr>
                      <w:rFonts w:ascii="Arial" w:hAnsi="Arial" w:cs="Arial"/>
                      <w:color w:val="000000"/>
                      <w:sz w:val="27"/>
                      <w:szCs w:val="27"/>
                    </w:rPr>
                  </w:pPr>
                  <w:r>
                    <w:rPr>
                      <w:rFonts w:ascii="Arial" w:hAnsi="Arial" w:cs="Arial"/>
                      <w:color w:val="0070F0"/>
                      <w:sz w:val="27"/>
                      <w:szCs w:val="27"/>
                      <w:u w:val="single"/>
                    </w:rPr>
                    <w:t>Для водителей автомобилей определят новый режим работы и отдыха</w:t>
                  </w:r>
                </w:p>
              </w:tc>
              <w:tc>
                <w:tcPr>
                  <w:tcW w:w="0" w:type="auto"/>
                  <w:tcBorders>
                    <w:top w:val="single" w:sz="6" w:space="0" w:color="DDDEE0"/>
                  </w:tcBorders>
                  <w:tcMar>
                    <w:top w:w="330" w:type="dxa"/>
                    <w:left w:w="0" w:type="dxa"/>
                    <w:bottom w:w="0" w:type="dxa"/>
                    <w:right w:w="180" w:type="dxa"/>
                  </w:tcMar>
                  <w:vAlign w:val="center"/>
                  <w:hideMark/>
                </w:tcPr>
                <w:p w:rsidR="00C8587D" w:rsidRDefault="001B0097">
                  <w:pPr>
                    <w:jc w:val="right"/>
                    <w:rPr>
                      <w:sz w:val="24"/>
                      <w:szCs w:val="24"/>
                    </w:rPr>
                  </w:pPr>
                  <w:hyperlink r:id="rId34" w:anchor="mailruanchor_top" w:history="1">
                    <w:r w:rsidR="00C8587D" w:rsidRPr="00C8587D">
                      <w:rPr>
                        <w:rStyle w:val="a3"/>
                        <w:rFonts w:ascii="Arial" w:hAnsi="Arial" w:cs="Arial"/>
                        <w:sz w:val="18"/>
                        <w:szCs w:val="18"/>
                        <w:shd w:val="clear" w:color="auto" w:fill="F4F4F5"/>
                      </w:rPr>
                      <w:t>Наверх</w:t>
                    </w:r>
                  </w:hyperlink>
                </w:p>
              </w:tc>
            </w:tr>
            <w:tr w:rsidR="00C8587D">
              <w:tc>
                <w:tcPr>
                  <w:tcW w:w="0" w:type="auto"/>
                  <w:gridSpan w:val="2"/>
                  <w:tcMar>
                    <w:top w:w="225" w:type="dxa"/>
                    <w:left w:w="375" w:type="dxa"/>
                    <w:bottom w:w="0" w:type="dxa"/>
                    <w:right w:w="180" w:type="dxa"/>
                  </w:tcMar>
                  <w:vAlign w:val="center"/>
                  <w:hideMark/>
                </w:tcPr>
                <w:p w:rsidR="00C8587D" w:rsidRDefault="001B0097">
                  <w:pPr>
                    <w:pStyle w:val="a4"/>
                    <w:spacing w:before="0" w:beforeAutospacing="0" w:after="225" w:afterAutospacing="0"/>
                    <w:rPr>
                      <w:rFonts w:ascii="Arial" w:hAnsi="Arial" w:cs="Arial"/>
                      <w:sz w:val="21"/>
                      <w:szCs w:val="21"/>
                    </w:rPr>
                  </w:pPr>
                  <w:hyperlink r:id="rId35" w:history="1">
                    <w:r w:rsidR="00C8587D" w:rsidRPr="00C8587D">
                      <w:rPr>
                        <w:rStyle w:val="a3"/>
                        <w:rFonts w:ascii="Arial" w:hAnsi="Arial" w:cs="Arial"/>
                        <w:sz w:val="21"/>
                        <w:szCs w:val="21"/>
                      </w:rPr>
                      <w:t>Проект Приказа Министерства транспорта Российской Федерации "Об установлении особенностей режима рабочего времени и времени отдыха водителей автомобилей" (подготовлен Минтрансом России 19.02.2026)</w:t>
                    </w:r>
                  </w:hyperlink>
                </w:p>
                <w:p w:rsidR="00C8587D" w:rsidRDefault="00C8587D">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Планируется обновить особенности режима рабочего времени и времени отдыха водителей автомобилей. Действующие особенности применяются до 1 января 2027 г.</w:t>
                  </w:r>
                  <w:r>
                    <w:rPr>
                      <w:rFonts w:ascii="Arial" w:hAnsi="Arial" w:cs="Arial"/>
                      <w:color w:val="000000"/>
                      <w:sz w:val="21"/>
                      <w:szCs w:val="21"/>
                    </w:rPr>
                    <w:br/>
                    <w:t>Как и сейчас, нормальная продолжительность рабочего времени водителей не может превышать 40 часов в неделю. Однако если по условиям работы не может быть соблюдена ежедневная или еженедельная продолжительность, то допускается суммированный учет рабочего времени c продолжительностью учетного периода - месяц, квартал или иной более длительный период, но не более одного года (сейчас - 3 месяца).</w:t>
                  </w:r>
                  <w:r>
                    <w:rPr>
                      <w:rFonts w:ascii="Arial" w:hAnsi="Arial" w:cs="Arial"/>
                      <w:color w:val="000000"/>
                      <w:sz w:val="21"/>
                      <w:szCs w:val="21"/>
                    </w:rPr>
                    <w:br/>
                    <w:t>Рабочий день водителя можно будет разделять на две части.</w:t>
                  </w:r>
                  <w:r>
                    <w:rPr>
                      <w:rFonts w:ascii="Arial" w:hAnsi="Arial" w:cs="Arial"/>
                      <w:color w:val="000000"/>
                      <w:sz w:val="21"/>
                      <w:szCs w:val="21"/>
                    </w:rPr>
                    <w:br/>
                    <w:t>Еженедельный отдых должен будет составлять не менее 45 часов и должен быть предоставлен до начала седьмого рабочего дня после окончания предыдущего еженедельного непрерывного отдыха.</w:t>
                  </w:r>
                </w:p>
              </w:tc>
            </w:tr>
            <w:tr w:rsidR="00C8587D">
              <w:tc>
                <w:tcPr>
                  <w:tcW w:w="0" w:type="auto"/>
                  <w:tcBorders>
                    <w:top w:val="single" w:sz="6" w:space="0" w:color="DDDEE0"/>
                  </w:tcBorders>
                  <w:tcMar>
                    <w:top w:w="330" w:type="dxa"/>
                    <w:left w:w="375" w:type="dxa"/>
                    <w:bottom w:w="0" w:type="dxa"/>
                    <w:right w:w="180" w:type="dxa"/>
                  </w:tcMar>
                  <w:vAlign w:val="center"/>
                  <w:hideMark/>
                </w:tcPr>
                <w:p w:rsidR="00C8587D" w:rsidRDefault="00C8587D">
                  <w:pPr>
                    <w:pStyle w:val="1"/>
                    <w:spacing w:before="0" w:beforeAutospacing="0" w:after="0" w:afterAutospacing="0" w:line="480" w:lineRule="atLeast"/>
                    <w:rPr>
                      <w:rFonts w:ascii="Arial" w:hAnsi="Arial" w:cs="Arial"/>
                      <w:color w:val="000000"/>
                      <w:sz w:val="27"/>
                      <w:szCs w:val="27"/>
                    </w:rPr>
                  </w:pPr>
                  <w:bookmarkStart w:id="7" w:name="mailruanchor_a6"/>
                  <w:r>
                    <w:rPr>
                      <w:rFonts w:ascii="Arial" w:hAnsi="Arial" w:cs="Arial"/>
                      <w:color w:val="0070F0"/>
                      <w:sz w:val="27"/>
                      <w:szCs w:val="27"/>
                      <w:u w:val="single"/>
                    </w:rPr>
                    <w:t>Изменятся особенности режима рабочего времени и времени отдыха водителей трамвая и троллейбуса</w:t>
                  </w:r>
                  <w:bookmarkEnd w:id="7"/>
                </w:p>
              </w:tc>
              <w:tc>
                <w:tcPr>
                  <w:tcW w:w="0" w:type="auto"/>
                  <w:tcBorders>
                    <w:top w:val="single" w:sz="6" w:space="0" w:color="DDDEE0"/>
                  </w:tcBorders>
                  <w:tcMar>
                    <w:top w:w="330" w:type="dxa"/>
                    <w:left w:w="0" w:type="dxa"/>
                    <w:bottom w:w="0" w:type="dxa"/>
                    <w:right w:w="180" w:type="dxa"/>
                  </w:tcMar>
                  <w:vAlign w:val="center"/>
                  <w:hideMark/>
                </w:tcPr>
                <w:p w:rsidR="00C8587D" w:rsidRDefault="001B0097">
                  <w:pPr>
                    <w:jc w:val="right"/>
                    <w:rPr>
                      <w:sz w:val="24"/>
                      <w:szCs w:val="24"/>
                    </w:rPr>
                  </w:pPr>
                  <w:hyperlink r:id="rId36" w:anchor="mailruanchor_top" w:history="1">
                    <w:r w:rsidR="00C8587D" w:rsidRPr="00C8587D">
                      <w:rPr>
                        <w:rStyle w:val="a3"/>
                        <w:rFonts w:ascii="Arial" w:hAnsi="Arial" w:cs="Arial"/>
                        <w:sz w:val="18"/>
                        <w:szCs w:val="18"/>
                        <w:shd w:val="clear" w:color="auto" w:fill="F4F4F5"/>
                      </w:rPr>
                      <w:t>Наверх</w:t>
                    </w:r>
                  </w:hyperlink>
                </w:p>
              </w:tc>
            </w:tr>
            <w:tr w:rsidR="00C8587D">
              <w:tc>
                <w:tcPr>
                  <w:tcW w:w="0" w:type="auto"/>
                  <w:gridSpan w:val="2"/>
                  <w:tcMar>
                    <w:top w:w="225" w:type="dxa"/>
                    <w:left w:w="375" w:type="dxa"/>
                    <w:bottom w:w="0" w:type="dxa"/>
                    <w:right w:w="180" w:type="dxa"/>
                  </w:tcMar>
                  <w:vAlign w:val="center"/>
                  <w:hideMark/>
                </w:tcPr>
                <w:p w:rsidR="00C8587D" w:rsidRDefault="001B0097">
                  <w:pPr>
                    <w:pStyle w:val="a4"/>
                    <w:spacing w:before="0" w:beforeAutospacing="0" w:after="225" w:afterAutospacing="0"/>
                    <w:rPr>
                      <w:rFonts w:ascii="Arial" w:hAnsi="Arial" w:cs="Arial"/>
                      <w:sz w:val="21"/>
                      <w:szCs w:val="21"/>
                    </w:rPr>
                  </w:pPr>
                  <w:hyperlink r:id="rId37" w:history="1">
                    <w:r w:rsidR="00C8587D" w:rsidRPr="00C8587D">
                      <w:rPr>
                        <w:rStyle w:val="a3"/>
                        <w:rFonts w:ascii="Arial" w:hAnsi="Arial" w:cs="Arial"/>
                        <w:sz w:val="21"/>
                        <w:szCs w:val="21"/>
                      </w:rPr>
                      <w:t>Проект Приказа Министерства транспорта Российской Федерации "Об установлении особенностей режима рабочего времени и времени отдыха водителей трамвая и троллейбуса" (подготовлен Минтрансом России 13.02.2026)</w:t>
                    </w:r>
                  </w:hyperlink>
                </w:p>
                <w:p w:rsidR="00C8587D" w:rsidRDefault="00C8587D">
                  <w:pPr>
                    <w:pStyle w:val="a4"/>
                    <w:spacing w:before="225" w:beforeAutospacing="0" w:after="360" w:afterAutospacing="0"/>
                    <w:rPr>
                      <w:rFonts w:ascii="Arial" w:hAnsi="Arial" w:cs="Arial"/>
                      <w:color w:val="000000"/>
                      <w:sz w:val="21"/>
                      <w:szCs w:val="21"/>
                    </w:rPr>
                  </w:pPr>
                  <w:r>
                    <w:rPr>
                      <w:rFonts w:ascii="Arial" w:hAnsi="Arial" w:cs="Arial"/>
                      <w:color w:val="000000"/>
                      <w:sz w:val="21"/>
                      <w:szCs w:val="21"/>
                    </w:rPr>
                    <w:t>Минтранс разработал новые особенности режима рабочего времени и времени отдыха водителей трамвая и троллейбуса. Они заменят особенности 2020 г.</w:t>
                  </w:r>
                  <w:r>
                    <w:rPr>
                      <w:rFonts w:ascii="Arial" w:hAnsi="Arial" w:cs="Arial"/>
                      <w:color w:val="000000"/>
                      <w:sz w:val="21"/>
                      <w:szCs w:val="21"/>
                    </w:rPr>
                    <w:br/>
                    <w:t xml:space="preserve">В частности, устанавливается, что продолжительность подготовительно-заключительного времени для выполнения работ и время проведения медосмотра водителей определяется работодателем с учетом мнения выборного органа первичной профсоюзной организации, а при его отсутствии - с учетом мнения иного представительного органа водителей. Продолжительность времени перерыва для отдыха и питания должна составлять не менее 30 минут и не более 2 часов. Перерыв </w:t>
                  </w:r>
                  <w:r>
                    <w:rPr>
                      <w:rFonts w:ascii="Arial" w:hAnsi="Arial" w:cs="Arial"/>
                      <w:color w:val="000000"/>
                      <w:sz w:val="21"/>
                      <w:szCs w:val="21"/>
                    </w:rPr>
                    <w:lastRenderedPageBreak/>
                    <w:t>для отдыха и питания предоставляется водителям в середине рабочего дня (смены).</w:t>
                  </w:r>
                </w:p>
              </w:tc>
            </w:tr>
          </w:tbl>
          <w:p w:rsidR="00C8587D" w:rsidRPr="00C8587D" w:rsidRDefault="00C8587D" w:rsidP="00C8587D">
            <w:pPr>
              <w:pStyle w:val="a4"/>
              <w:spacing w:after="225"/>
            </w:pPr>
          </w:p>
        </w:tc>
      </w:tr>
    </w:tbl>
    <w:p w:rsidR="001B0097" w:rsidRDefault="001B0097" w:rsidP="001B0097">
      <w:pPr>
        <w:pStyle w:val="a4"/>
        <w:shd w:val="clear" w:color="auto" w:fill="FFFFFF"/>
        <w:spacing w:before="0" w:beforeAutospacing="0" w:after="225" w:afterAutospacing="0"/>
        <w:rPr>
          <w:rFonts w:ascii="Arial" w:hAnsi="Arial" w:cs="Arial"/>
          <w:color w:val="2C2D2E"/>
          <w:sz w:val="21"/>
          <w:szCs w:val="21"/>
        </w:rPr>
      </w:pPr>
      <w:hyperlink r:id="rId38" w:history="1">
        <w:r>
          <w:rPr>
            <w:rStyle w:val="a3"/>
            <w:rFonts w:ascii="Arial" w:hAnsi="Arial" w:cs="Arial"/>
            <w:color w:val="004FD3"/>
            <w:sz w:val="21"/>
            <w:szCs w:val="21"/>
            <w:u w:val="none"/>
          </w:rPr>
          <w:t xml:space="preserve">Приказ Федеральной службы по надзору в сфере защиты прав потребителей и благополучия человека от 24 февраля 2026 г. № 100 “О внесении изменения в приказ </w:t>
        </w:r>
        <w:proofErr w:type="spellStart"/>
        <w:r>
          <w:rPr>
            <w:rStyle w:val="a3"/>
            <w:rFonts w:ascii="Arial" w:hAnsi="Arial" w:cs="Arial"/>
            <w:color w:val="004FD3"/>
            <w:sz w:val="21"/>
            <w:szCs w:val="21"/>
            <w:u w:val="none"/>
          </w:rPr>
          <w:t>Роспотребнадзора</w:t>
        </w:r>
        <w:proofErr w:type="spellEnd"/>
        <w:r>
          <w:rPr>
            <w:rStyle w:val="a3"/>
            <w:rFonts w:ascii="Arial" w:hAnsi="Arial" w:cs="Arial"/>
            <w:color w:val="004FD3"/>
            <w:sz w:val="21"/>
            <w:szCs w:val="21"/>
            <w:u w:val="none"/>
          </w:rPr>
          <w:t xml:space="preserve"> от 07.12.2022 № 664 "Об утверждении Методики установления седьмой </w:t>
        </w:r>
        <w:proofErr w:type="spellStart"/>
        <w:r>
          <w:rPr>
            <w:rStyle w:val="a3"/>
            <w:rFonts w:ascii="Arial" w:hAnsi="Arial" w:cs="Arial"/>
            <w:color w:val="004FD3"/>
            <w:sz w:val="21"/>
            <w:szCs w:val="21"/>
            <w:u w:val="none"/>
          </w:rPr>
          <w:t>подзоны</w:t>
        </w:r>
        <w:proofErr w:type="spellEnd"/>
        <w:r>
          <w:rPr>
            <w:rStyle w:val="a3"/>
            <w:rFonts w:ascii="Arial" w:hAnsi="Arial" w:cs="Arial"/>
            <w:color w:val="004FD3"/>
            <w:sz w:val="21"/>
            <w:szCs w:val="21"/>
            <w:u w:val="none"/>
          </w:rPr>
          <w:t xml:space="preserve"> </w:t>
        </w:r>
        <w:proofErr w:type="spellStart"/>
        <w:r>
          <w:rPr>
            <w:rStyle w:val="a3"/>
            <w:rFonts w:ascii="Arial" w:hAnsi="Arial" w:cs="Arial"/>
            <w:color w:val="004FD3"/>
            <w:sz w:val="21"/>
            <w:szCs w:val="21"/>
            <w:u w:val="none"/>
          </w:rPr>
          <w:t>приаэродромной</w:t>
        </w:r>
        <w:proofErr w:type="spellEnd"/>
        <w:r>
          <w:rPr>
            <w:rStyle w:val="a3"/>
            <w:rFonts w:ascii="Arial" w:hAnsi="Arial" w:cs="Arial"/>
            <w:color w:val="004FD3"/>
            <w:sz w:val="21"/>
            <w:szCs w:val="21"/>
            <w:u w:val="none"/>
          </w:rPr>
          <w:t xml:space="preserve"> территории, расчета и оценки рисков для здоровья человека"</w:t>
        </w:r>
      </w:hyperlink>
    </w:p>
    <w:p w:rsidR="001B0097" w:rsidRDefault="001B0097" w:rsidP="001B0097">
      <w:pPr>
        <w:pStyle w:val="a4"/>
        <w:shd w:val="clear" w:color="auto" w:fill="FFFFFF"/>
        <w:spacing w:before="225" w:beforeAutospacing="0" w:after="225" w:afterAutospacing="0"/>
        <w:rPr>
          <w:rFonts w:ascii="Arial" w:hAnsi="Arial" w:cs="Arial"/>
          <w:color w:val="AB0000"/>
          <w:sz w:val="21"/>
          <w:szCs w:val="21"/>
        </w:rPr>
      </w:pPr>
      <w:r>
        <w:rPr>
          <w:rFonts w:ascii="Arial" w:hAnsi="Arial" w:cs="Arial"/>
          <w:color w:val="AB0000"/>
          <w:sz w:val="21"/>
          <w:szCs w:val="21"/>
        </w:rPr>
        <w:t>Зарегистрировано 27 Февраля 2026 г. Регистрационный N 85500.</w:t>
      </w:r>
    </w:p>
    <w:p w:rsidR="001B0097" w:rsidRDefault="001B0097" w:rsidP="001B0097">
      <w:pPr>
        <w:pStyle w:val="a4"/>
        <w:shd w:val="clear" w:color="auto" w:fill="FFFFFF"/>
        <w:spacing w:before="225" w:beforeAutospacing="0" w:after="360" w:afterAutospacing="0"/>
        <w:rPr>
          <w:rFonts w:ascii="Arial" w:hAnsi="Arial" w:cs="Arial"/>
          <w:color w:val="000000"/>
          <w:sz w:val="21"/>
          <w:szCs w:val="21"/>
        </w:rPr>
      </w:pPr>
      <w:r>
        <w:rPr>
          <w:rFonts w:ascii="Arial" w:hAnsi="Arial" w:cs="Arial"/>
          <w:color w:val="000000"/>
          <w:sz w:val="21"/>
          <w:szCs w:val="21"/>
        </w:rPr>
        <w:t xml:space="preserve">Методика установления седьмой </w:t>
      </w:r>
      <w:proofErr w:type="spellStart"/>
      <w:r>
        <w:rPr>
          <w:rFonts w:ascii="Arial" w:hAnsi="Arial" w:cs="Arial"/>
          <w:color w:val="000000"/>
          <w:sz w:val="21"/>
          <w:szCs w:val="21"/>
        </w:rPr>
        <w:t>подзоны</w:t>
      </w:r>
      <w:proofErr w:type="spellEnd"/>
      <w:r>
        <w:rPr>
          <w:rFonts w:ascii="Arial" w:hAnsi="Arial" w:cs="Arial"/>
          <w:color w:val="000000"/>
          <w:sz w:val="21"/>
          <w:szCs w:val="21"/>
        </w:rPr>
        <w:t xml:space="preserve"> </w:t>
      </w:r>
      <w:proofErr w:type="spellStart"/>
      <w:r>
        <w:rPr>
          <w:rFonts w:ascii="Arial" w:hAnsi="Arial" w:cs="Arial"/>
          <w:color w:val="000000"/>
          <w:sz w:val="21"/>
          <w:szCs w:val="21"/>
        </w:rPr>
        <w:t>приаэродромной</w:t>
      </w:r>
      <w:proofErr w:type="spellEnd"/>
      <w:r>
        <w:rPr>
          <w:rFonts w:ascii="Arial" w:hAnsi="Arial" w:cs="Arial"/>
          <w:color w:val="000000"/>
          <w:sz w:val="21"/>
          <w:szCs w:val="21"/>
        </w:rPr>
        <w:t xml:space="preserve"> территории, расчета и оценки рисков для здоровья человека будет действовать до 1 марта 2031 г.</w:t>
      </w:r>
      <w:r>
        <w:rPr>
          <w:rFonts w:ascii="Arial" w:hAnsi="Arial" w:cs="Arial"/>
          <w:color w:val="000000"/>
          <w:sz w:val="21"/>
          <w:szCs w:val="21"/>
        </w:rPr>
        <w:br/>
        <w:t xml:space="preserve">В седьмой </w:t>
      </w:r>
      <w:proofErr w:type="spellStart"/>
      <w:r>
        <w:rPr>
          <w:rFonts w:ascii="Arial" w:hAnsi="Arial" w:cs="Arial"/>
          <w:color w:val="000000"/>
          <w:sz w:val="21"/>
          <w:szCs w:val="21"/>
        </w:rPr>
        <w:t>подзоне</w:t>
      </w:r>
      <w:proofErr w:type="spellEnd"/>
      <w:r>
        <w:rPr>
          <w:rFonts w:ascii="Arial" w:hAnsi="Arial" w:cs="Arial"/>
          <w:color w:val="000000"/>
          <w:sz w:val="21"/>
          <w:szCs w:val="21"/>
        </w:rPr>
        <w:t xml:space="preserve"> устанавливается перечень ограничений использования земельных участков.</w:t>
      </w:r>
      <w:r>
        <w:rPr>
          <w:rFonts w:ascii="Arial" w:hAnsi="Arial" w:cs="Arial"/>
          <w:color w:val="000000"/>
          <w:sz w:val="21"/>
          <w:szCs w:val="21"/>
        </w:rPr>
        <w:br/>
        <w:t>Приказ вступает в силу с 28 февраля 2026 г.</w:t>
      </w:r>
    </w:p>
    <w:p w:rsidR="00C96E99" w:rsidRDefault="00C96E99">
      <w:bookmarkStart w:id="8" w:name="_GoBack"/>
      <w:bookmarkEnd w:id="8"/>
    </w:p>
    <w:sectPr w:rsidR="00C96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A7"/>
    <w:rsid w:val="00061459"/>
    <w:rsid w:val="001B0097"/>
    <w:rsid w:val="002470E2"/>
    <w:rsid w:val="003F1691"/>
    <w:rsid w:val="004057E7"/>
    <w:rsid w:val="004613A7"/>
    <w:rsid w:val="00A65A3D"/>
    <w:rsid w:val="00C8587D"/>
    <w:rsid w:val="00C96E99"/>
    <w:rsid w:val="00EF7D40"/>
    <w:rsid w:val="00FD6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6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858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6E9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C96E99"/>
    <w:rPr>
      <w:color w:val="0000FF"/>
      <w:u w:val="single"/>
    </w:rPr>
  </w:style>
  <w:style w:type="paragraph" w:styleId="a4">
    <w:name w:val="Normal (Web)"/>
    <w:basedOn w:val="a"/>
    <w:uiPriority w:val="99"/>
    <w:unhideWhenUsed/>
    <w:rsid w:val="00C96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8587D"/>
    <w:rPr>
      <w:rFonts w:asciiTheme="majorHAnsi" w:eastAsiaTheme="majorEastAsia" w:hAnsiTheme="majorHAnsi" w:cstheme="majorBidi"/>
      <w:b/>
      <w:bCs/>
      <w:color w:val="4F81BD" w:themeColor="accent1"/>
    </w:rPr>
  </w:style>
  <w:style w:type="paragraph" w:customStyle="1" w:styleId="exchange-rates-articlemrcssattr">
    <w:name w:val="exchange-rates-article_mr_css_attr"/>
    <w:basedOn w:val="a"/>
    <w:rsid w:val="00C85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change-rates-datemrcssattr">
    <w:name w:val="exchange-rates-date_mr_css_attr"/>
    <w:basedOn w:val="a0"/>
    <w:rsid w:val="00C8587D"/>
  </w:style>
  <w:style w:type="character" w:styleId="a5">
    <w:name w:val="Strong"/>
    <w:basedOn w:val="a0"/>
    <w:uiPriority w:val="22"/>
    <w:qFormat/>
    <w:rsid w:val="00C8587D"/>
    <w:rPr>
      <w:b/>
      <w:bCs/>
    </w:rPr>
  </w:style>
  <w:style w:type="character" w:customStyle="1" w:styleId="exchange-rates-coursemrcssattr">
    <w:name w:val="exchange-rates-course_mr_css_attr"/>
    <w:basedOn w:val="a0"/>
    <w:rsid w:val="00C8587D"/>
  </w:style>
  <w:style w:type="character" w:customStyle="1" w:styleId="valutes-upmrcssattr">
    <w:name w:val="valutes-up_mr_css_attr"/>
    <w:basedOn w:val="a0"/>
    <w:rsid w:val="00C8587D"/>
  </w:style>
  <w:style w:type="character" w:customStyle="1" w:styleId="span-icon1mrcssattr">
    <w:name w:val="span-icon1_mr_css_attr"/>
    <w:basedOn w:val="a0"/>
    <w:rsid w:val="00C85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6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858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6E9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C96E99"/>
    <w:rPr>
      <w:color w:val="0000FF"/>
      <w:u w:val="single"/>
    </w:rPr>
  </w:style>
  <w:style w:type="paragraph" w:styleId="a4">
    <w:name w:val="Normal (Web)"/>
    <w:basedOn w:val="a"/>
    <w:uiPriority w:val="99"/>
    <w:unhideWhenUsed/>
    <w:rsid w:val="00C96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8587D"/>
    <w:rPr>
      <w:rFonts w:asciiTheme="majorHAnsi" w:eastAsiaTheme="majorEastAsia" w:hAnsiTheme="majorHAnsi" w:cstheme="majorBidi"/>
      <w:b/>
      <w:bCs/>
      <w:color w:val="4F81BD" w:themeColor="accent1"/>
    </w:rPr>
  </w:style>
  <w:style w:type="paragraph" w:customStyle="1" w:styleId="exchange-rates-articlemrcssattr">
    <w:name w:val="exchange-rates-article_mr_css_attr"/>
    <w:basedOn w:val="a"/>
    <w:rsid w:val="00C85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change-rates-datemrcssattr">
    <w:name w:val="exchange-rates-date_mr_css_attr"/>
    <w:basedOn w:val="a0"/>
    <w:rsid w:val="00C8587D"/>
  </w:style>
  <w:style w:type="character" w:styleId="a5">
    <w:name w:val="Strong"/>
    <w:basedOn w:val="a0"/>
    <w:uiPriority w:val="22"/>
    <w:qFormat/>
    <w:rsid w:val="00C8587D"/>
    <w:rPr>
      <w:b/>
      <w:bCs/>
    </w:rPr>
  </w:style>
  <w:style w:type="character" w:customStyle="1" w:styleId="exchange-rates-coursemrcssattr">
    <w:name w:val="exchange-rates-course_mr_css_attr"/>
    <w:basedOn w:val="a0"/>
    <w:rsid w:val="00C8587D"/>
  </w:style>
  <w:style w:type="character" w:customStyle="1" w:styleId="valutes-upmrcssattr">
    <w:name w:val="valutes-up_mr_css_attr"/>
    <w:basedOn w:val="a0"/>
    <w:rsid w:val="00C8587D"/>
  </w:style>
  <w:style w:type="character" w:customStyle="1" w:styleId="span-icon1mrcssattr">
    <w:name w:val="span-icon1_mr_css_attr"/>
    <w:basedOn w:val="a0"/>
    <w:rsid w:val="00C8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8126">
      <w:bodyDiv w:val="1"/>
      <w:marLeft w:val="0"/>
      <w:marRight w:val="0"/>
      <w:marTop w:val="0"/>
      <w:marBottom w:val="0"/>
      <w:divBdr>
        <w:top w:val="none" w:sz="0" w:space="0" w:color="auto"/>
        <w:left w:val="none" w:sz="0" w:space="0" w:color="auto"/>
        <w:bottom w:val="none" w:sz="0" w:space="0" w:color="auto"/>
        <w:right w:val="none" w:sz="0" w:space="0" w:color="auto"/>
      </w:divBdr>
      <w:divsChild>
        <w:div w:id="384064612">
          <w:marLeft w:val="0"/>
          <w:marRight w:val="0"/>
          <w:marTop w:val="0"/>
          <w:marBottom w:val="0"/>
          <w:divBdr>
            <w:top w:val="none" w:sz="0" w:space="0" w:color="auto"/>
            <w:left w:val="none" w:sz="0" w:space="0" w:color="auto"/>
            <w:bottom w:val="none" w:sz="0" w:space="0" w:color="auto"/>
            <w:right w:val="none" w:sz="0" w:space="0" w:color="auto"/>
          </w:divBdr>
        </w:div>
      </w:divsChild>
    </w:div>
    <w:div w:id="487401719">
      <w:bodyDiv w:val="1"/>
      <w:marLeft w:val="0"/>
      <w:marRight w:val="0"/>
      <w:marTop w:val="0"/>
      <w:marBottom w:val="0"/>
      <w:divBdr>
        <w:top w:val="none" w:sz="0" w:space="0" w:color="auto"/>
        <w:left w:val="none" w:sz="0" w:space="0" w:color="auto"/>
        <w:bottom w:val="none" w:sz="0" w:space="0" w:color="auto"/>
        <w:right w:val="none" w:sz="0" w:space="0" w:color="auto"/>
      </w:divBdr>
    </w:div>
    <w:div w:id="832720644">
      <w:bodyDiv w:val="1"/>
      <w:marLeft w:val="0"/>
      <w:marRight w:val="0"/>
      <w:marTop w:val="0"/>
      <w:marBottom w:val="0"/>
      <w:divBdr>
        <w:top w:val="none" w:sz="0" w:space="0" w:color="auto"/>
        <w:left w:val="none" w:sz="0" w:space="0" w:color="auto"/>
        <w:bottom w:val="none" w:sz="0" w:space="0" w:color="auto"/>
        <w:right w:val="none" w:sz="0" w:space="0" w:color="auto"/>
      </w:divBdr>
    </w:div>
    <w:div w:id="947080520">
      <w:bodyDiv w:val="1"/>
      <w:marLeft w:val="0"/>
      <w:marRight w:val="0"/>
      <w:marTop w:val="0"/>
      <w:marBottom w:val="0"/>
      <w:divBdr>
        <w:top w:val="none" w:sz="0" w:space="0" w:color="auto"/>
        <w:left w:val="none" w:sz="0" w:space="0" w:color="auto"/>
        <w:bottom w:val="none" w:sz="0" w:space="0" w:color="auto"/>
        <w:right w:val="none" w:sz="0" w:space="0" w:color="auto"/>
      </w:divBdr>
    </w:div>
    <w:div w:id="968315443">
      <w:bodyDiv w:val="1"/>
      <w:marLeft w:val="0"/>
      <w:marRight w:val="0"/>
      <w:marTop w:val="0"/>
      <w:marBottom w:val="0"/>
      <w:divBdr>
        <w:top w:val="none" w:sz="0" w:space="0" w:color="auto"/>
        <w:left w:val="none" w:sz="0" w:space="0" w:color="auto"/>
        <w:bottom w:val="none" w:sz="0" w:space="0" w:color="auto"/>
        <w:right w:val="none" w:sz="0" w:space="0" w:color="auto"/>
      </w:divBdr>
    </w:div>
    <w:div w:id="1253705634">
      <w:bodyDiv w:val="1"/>
      <w:marLeft w:val="0"/>
      <w:marRight w:val="0"/>
      <w:marTop w:val="0"/>
      <w:marBottom w:val="0"/>
      <w:divBdr>
        <w:top w:val="none" w:sz="0" w:space="0" w:color="auto"/>
        <w:left w:val="none" w:sz="0" w:space="0" w:color="auto"/>
        <w:bottom w:val="none" w:sz="0" w:space="0" w:color="auto"/>
        <w:right w:val="none" w:sz="0" w:space="0" w:color="auto"/>
      </w:divBdr>
    </w:div>
    <w:div w:id="1255480570">
      <w:bodyDiv w:val="1"/>
      <w:marLeft w:val="0"/>
      <w:marRight w:val="0"/>
      <w:marTop w:val="0"/>
      <w:marBottom w:val="0"/>
      <w:divBdr>
        <w:top w:val="none" w:sz="0" w:space="0" w:color="auto"/>
        <w:left w:val="none" w:sz="0" w:space="0" w:color="auto"/>
        <w:bottom w:val="none" w:sz="0" w:space="0" w:color="auto"/>
        <w:right w:val="none" w:sz="0" w:space="0" w:color="auto"/>
      </w:divBdr>
    </w:div>
    <w:div w:id="1594127076">
      <w:bodyDiv w:val="1"/>
      <w:marLeft w:val="0"/>
      <w:marRight w:val="0"/>
      <w:marTop w:val="0"/>
      <w:marBottom w:val="0"/>
      <w:divBdr>
        <w:top w:val="none" w:sz="0" w:space="0" w:color="auto"/>
        <w:left w:val="none" w:sz="0" w:space="0" w:color="auto"/>
        <w:bottom w:val="none" w:sz="0" w:space="0" w:color="auto"/>
        <w:right w:val="none" w:sz="0" w:space="0" w:color="auto"/>
      </w:divBdr>
    </w:div>
    <w:div w:id="1689063471">
      <w:bodyDiv w:val="1"/>
      <w:marLeft w:val="0"/>
      <w:marRight w:val="0"/>
      <w:marTop w:val="0"/>
      <w:marBottom w:val="0"/>
      <w:divBdr>
        <w:top w:val="none" w:sz="0" w:space="0" w:color="auto"/>
        <w:left w:val="none" w:sz="0" w:space="0" w:color="auto"/>
        <w:bottom w:val="none" w:sz="0" w:space="0" w:color="auto"/>
        <w:right w:val="none" w:sz="0" w:space="0" w:color="auto"/>
      </w:divBdr>
    </w:div>
    <w:div w:id="1751464131">
      <w:bodyDiv w:val="1"/>
      <w:marLeft w:val="0"/>
      <w:marRight w:val="0"/>
      <w:marTop w:val="0"/>
      <w:marBottom w:val="0"/>
      <w:divBdr>
        <w:top w:val="none" w:sz="0" w:space="0" w:color="auto"/>
        <w:left w:val="none" w:sz="0" w:space="0" w:color="auto"/>
        <w:bottom w:val="none" w:sz="0" w:space="0" w:color="auto"/>
        <w:right w:val="none" w:sz="0" w:space="0" w:color="auto"/>
      </w:divBdr>
    </w:div>
    <w:div w:id="20872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inbox/0:17712460080348095122:0/" TargetMode="External"/><Relationship Id="rId13" Type="http://schemas.openxmlformats.org/officeDocument/2006/relationships/hyperlink" Target="https://e.mail.ru/inbox/0:17720230200908601174:0/" TargetMode="External"/><Relationship Id="rId18" Type="http://schemas.openxmlformats.org/officeDocument/2006/relationships/hyperlink" Target="https://e.mail.ru/inbox/0:17721093610766713453:0/" TargetMode="External"/><Relationship Id="rId26" Type="http://schemas.openxmlformats.org/officeDocument/2006/relationships/hyperlink" Target="https://e.mail.ru/inbox/0:17724555312076375477: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mail.ru/inbox/0:17724555312076375477:0/" TargetMode="External"/><Relationship Id="rId34" Type="http://schemas.openxmlformats.org/officeDocument/2006/relationships/hyperlink" Target="https://e.mail.ru/inbox/0:17724555312076375477:0/" TargetMode="External"/><Relationship Id="rId7" Type="http://schemas.openxmlformats.org/officeDocument/2006/relationships/hyperlink" Target="https://e.mail.ru/inbox/0:17708134650810485502:0/" TargetMode="External"/><Relationship Id="rId12" Type="http://schemas.openxmlformats.org/officeDocument/2006/relationships/hyperlink" Target="https://e.mail.ru/inbox/0:17714182951048661839:0/" TargetMode="External"/><Relationship Id="rId17" Type="http://schemas.openxmlformats.org/officeDocument/2006/relationships/hyperlink" Target="https://service.garant.ru/prime/open/483545960/413511370/77-40846" TargetMode="External"/><Relationship Id="rId25" Type="http://schemas.openxmlformats.org/officeDocument/2006/relationships/hyperlink" Target="https://e.mail.ru/inbox/0:17724555312076375477:0/" TargetMode="External"/><Relationship Id="rId33" Type="http://schemas.openxmlformats.org/officeDocument/2006/relationships/hyperlink" Target="https://service.garant.ru/prime/open/485404287/413664664/77-40846" TargetMode="External"/><Relationship Id="rId38" Type="http://schemas.openxmlformats.org/officeDocument/2006/relationships/hyperlink" Target="https://service.garant.ru/prime/open/486179935/413673204/77-40846" TargetMode="External"/><Relationship Id="rId2" Type="http://schemas.microsoft.com/office/2007/relationships/stylesWithEffects" Target="stylesWithEffects.xml"/><Relationship Id="rId16" Type="http://schemas.openxmlformats.org/officeDocument/2006/relationships/hyperlink" Target="https://e.mail.ru/inbox/0:17715045991704772716:0/" TargetMode="External"/><Relationship Id="rId20" Type="http://schemas.openxmlformats.org/officeDocument/2006/relationships/hyperlink" Target="https://e.mail.ru/inbox/0:17724555312076375477:0/" TargetMode="External"/><Relationship Id="rId29" Type="http://schemas.openxmlformats.org/officeDocument/2006/relationships/hyperlink" Target="https://service.garant.ru/prime/open/485404287/56946459/77-40846" TargetMode="External"/><Relationship Id="rId1" Type="http://schemas.openxmlformats.org/officeDocument/2006/relationships/styles" Target="styles.xml"/><Relationship Id="rId6" Type="http://schemas.openxmlformats.org/officeDocument/2006/relationships/hyperlink" Target="https://service.garant.ru/prime/open/480899855/56944764/77-40846" TargetMode="External"/><Relationship Id="rId11" Type="http://schemas.openxmlformats.org/officeDocument/2006/relationships/hyperlink" Target="https://service.garant.ru/prime/open/483362431/56945512/77-40846" TargetMode="External"/><Relationship Id="rId24" Type="http://schemas.openxmlformats.org/officeDocument/2006/relationships/hyperlink" Target="https://e.mail.ru/inbox/0:17724555312076375477:0/" TargetMode="External"/><Relationship Id="rId32" Type="http://schemas.openxmlformats.org/officeDocument/2006/relationships/hyperlink" Target="https://e.mail.ru/inbox/0:17724555312076375477:0/" TargetMode="External"/><Relationship Id="rId37" Type="http://schemas.openxmlformats.org/officeDocument/2006/relationships/hyperlink" Target="https://service.garant.ru/prime/open/485404287/56946719/77-40846" TargetMode="External"/><Relationship Id="rId40" Type="http://schemas.openxmlformats.org/officeDocument/2006/relationships/theme" Target="theme/theme1.xml"/><Relationship Id="rId5" Type="http://schemas.openxmlformats.org/officeDocument/2006/relationships/hyperlink" Target="https://e.mail.ru/inbox/0:17706412561082254847:0/" TargetMode="External"/><Relationship Id="rId15" Type="http://schemas.openxmlformats.org/officeDocument/2006/relationships/hyperlink" Target="https://service.garant.ru/prime/open/483545960/413548028/77-40846" TargetMode="External"/><Relationship Id="rId23" Type="http://schemas.openxmlformats.org/officeDocument/2006/relationships/hyperlink" Target="https://e.mail.ru/inbox/0:17724555312076375477:0/" TargetMode="External"/><Relationship Id="rId28" Type="http://schemas.openxmlformats.org/officeDocument/2006/relationships/hyperlink" Target="https://e.mail.ru/inbox/0:17724555312076375477:0/" TargetMode="External"/><Relationship Id="rId36" Type="http://schemas.openxmlformats.org/officeDocument/2006/relationships/hyperlink" Target="https://e.mail.ru/inbox/0:17724555312076375477:0/" TargetMode="External"/><Relationship Id="rId10" Type="http://schemas.openxmlformats.org/officeDocument/2006/relationships/hyperlink" Target="https://e.mail.ru/inbox/0:17714182951048661839:0/" TargetMode="External"/><Relationship Id="rId19" Type="http://schemas.openxmlformats.org/officeDocument/2006/relationships/hyperlink" Target="https://service.garant.ru/prime/open/485046893/413647928/77-40846" TargetMode="External"/><Relationship Id="rId31" Type="http://schemas.openxmlformats.org/officeDocument/2006/relationships/hyperlink" Target="https://service.garant.ru/prime/open/485404287/56947711/77-40846" TargetMode="External"/><Relationship Id="rId4" Type="http://schemas.openxmlformats.org/officeDocument/2006/relationships/webSettings" Target="webSettings.xml"/><Relationship Id="rId9" Type="http://schemas.openxmlformats.org/officeDocument/2006/relationships/hyperlink" Target="https://service.garant.ru/prime/open/482400504/56945524/77-40846" TargetMode="External"/><Relationship Id="rId14" Type="http://schemas.openxmlformats.org/officeDocument/2006/relationships/hyperlink" Target="https://e.mail.ru/inbox/0:17715045991704772716:0/" TargetMode="External"/><Relationship Id="rId22" Type="http://schemas.openxmlformats.org/officeDocument/2006/relationships/hyperlink" Target="https://e.mail.ru/inbox/0:17724555312076375477:0/" TargetMode="External"/><Relationship Id="rId27" Type="http://schemas.openxmlformats.org/officeDocument/2006/relationships/hyperlink" Target="https://service.garant.ru/prime/open/485404287/56946918/77-40846" TargetMode="External"/><Relationship Id="rId30" Type="http://schemas.openxmlformats.org/officeDocument/2006/relationships/hyperlink" Target="https://e.mail.ru/inbox/0:17724555312076375477:0/" TargetMode="External"/><Relationship Id="rId35" Type="http://schemas.openxmlformats.org/officeDocument/2006/relationships/hyperlink" Target="https://service.garant.ru/prime/open/485404287/56947745/77-40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17</cp:revision>
  <dcterms:created xsi:type="dcterms:W3CDTF">2026-02-04T00:36:00Z</dcterms:created>
  <dcterms:modified xsi:type="dcterms:W3CDTF">2026-03-04T04:30:00Z</dcterms:modified>
</cp:coreProperties>
</file>